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40" w:lineRule="auto"/>
        <w:jc w:val="center"/>
        <w:rPr>
          <w:rFonts w:ascii="Titillium Web" w:cs="Titillium Web" w:eastAsia="Titillium Web" w:hAnsi="Titillium Web"/>
          <w:b w:val="1"/>
          <w:color w:val="0059c8"/>
          <w:sz w:val="30"/>
          <w:szCs w:val="30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40"/>
          <w:szCs w:val="40"/>
          <w:rtl w:val="0"/>
        </w:rPr>
        <w:t xml:space="preserve">Check-list Scheda 2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rtl w:val="0"/>
        </w:rPr>
        <w:t xml:space="preserve">: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jc w:val="center"/>
        <w:rPr>
          <w:rFonts w:ascii="Titillium Web" w:cs="Titillium Web" w:eastAsia="Titillium Web" w:hAnsi="Titillium Web"/>
          <w:b w:val="1"/>
          <w:color w:val="0059c8"/>
          <w:sz w:val="30"/>
          <w:szCs w:val="30"/>
          <w:u w:val="single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rtl w:val="0"/>
        </w:rPr>
        <w:t xml:space="preserve"> “</w:t>
      </w:r>
      <w:r w:rsidDel="00000000" w:rsidR="00000000" w:rsidRPr="00000000">
        <w:rPr>
          <w:rFonts w:ascii="Titillium Web" w:cs="Titillium Web" w:eastAsia="Titillium Web" w:hAnsi="Titillium Web"/>
          <w:b w:val="1"/>
          <w:color w:val="0059c8"/>
          <w:sz w:val="30"/>
          <w:szCs w:val="30"/>
          <w:u w:val="single"/>
          <w:rtl w:val="0"/>
        </w:rPr>
        <w:t xml:space="preserve">RISTRUTTURAZIONI E RIQUALIFICAZIONI DI EDIFICI RESIDENZIALI E NON RESIDENZIALI”</w:t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jc w:val="center"/>
        <w:rPr>
          <w:rFonts w:ascii="Titillium Web" w:cs="Titillium Web" w:eastAsia="Titillium Web" w:hAnsi="Titillium Web"/>
          <w:b w:val="1"/>
          <w:color w:val="0059c8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595.0" w:type="dxa"/>
        <w:jc w:val="left"/>
        <w:tblLayout w:type="fixed"/>
        <w:tblLook w:val="0600"/>
      </w:tblPr>
      <w:tblGrid>
        <w:gridCol w:w="1200"/>
        <w:gridCol w:w="510"/>
        <w:gridCol w:w="2820"/>
        <w:gridCol w:w="3435"/>
        <w:gridCol w:w="2895"/>
        <w:gridCol w:w="1125"/>
        <w:gridCol w:w="2610"/>
        <w:tblGridChange w:id="0">
          <w:tblGrid>
            <w:gridCol w:w="1200"/>
            <w:gridCol w:w="510"/>
            <w:gridCol w:w="2820"/>
            <w:gridCol w:w="3435"/>
            <w:gridCol w:w="2895"/>
            <w:gridCol w:w="1125"/>
            <w:gridCol w:w="2610"/>
          </w:tblGrid>
        </w:tblGridChange>
      </w:tblGrid>
      <w:tr>
        <w:trPr>
          <w:cantSplit w:val="0"/>
          <w:trHeight w:val="50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5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Svolgimento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delle verifiche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7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8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Elementi di Controllo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9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Normativa di riferimento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A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Certificazione richiesta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B">
            <w:pPr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Esito (Sì/No/Non applicabile)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shd w:fill="0563c1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C">
            <w:pPr>
              <w:ind w:right="140.55118110236094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Commento (obbligatorio in caso di N/A)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Ex-ante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L'edificio non è adibito all'estrazione, allo stoccaggio, al trasporto o alla produzione di combustibili fossili così come descritto nella Lista di Esclusione*.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hyperlink r:id="rId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Orientamenti Tecnici sull’applicazione del principio Non arrecare un danno significativo 2021/C58/01 (Allegato 3)</w:t>
              </w:r>
            </w:hyperlink>
            <w:r w:rsidDel="00000000" w:rsidR="00000000" w:rsidRPr="00000000">
              <w:rPr>
                <w:rtl w:val="0"/>
              </w:rPr>
              <w:t xml:space="preserve"> </w:t>
              <w:br w:type="textWrapping"/>
              <w:br w:type="textWrapping"/>
            </w: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Direttiva 2003/87/CE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Certificato di destinazione urbanistica o dichiarazione di un tecnico abilitato</w:t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L‘intervento rispetta i requisiti della normativa vigente in materia di efficienza energetica degli edifici?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Legge 9 Gennaio 1991 num. 10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Decreto 26 giugno 2015 "Applicazione delle metodologie di calcolo delle prestazioni energetiche e definizione delle prescrizioni e dei requisiti minimi degli edifici"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Relazione firmata dal progettista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È stato redatto un report di analisi dell’adattabilità?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Orientamenti tecnici per infrastrutture a prova di clima nel periodo 2021-2027 (2021/C 373/01)</w:t>
              </w:r>
            </w:hyperlink>
            <w:r w:rsidDel="00000000" w:rsidR="00000000" w:rsidRPr="00000000">
              <w:rPr>
                <w:rtl w:val="0"/>
              </w:rPr>
              <w:t xml:space="preserve">; </w:t>
              <w:br w:type="textWrapping"/>
              <w:t xml:space="preserve">Sezione II dell’Appendice A del </w:t>
            </w: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Regolamento Delegato (UE) 2021/2139 che integra il regolamento (UE) 2020/852</w:t>
              </w:r>
            </w:hyperlink>
            <w:r w:rsidDel="00000000" w:rsidR="00000000" w:rsidRPr="00000000">
              <w:rPr>
                <w:rtl w:val="0"/>
              </w:rPr>
              <w:t xml:space="preserve">; </w:t>
              <w:br w:type="textWrapping"/>
              <w:t xml:space="preserve">Appendice 1 </w:t>
            </w:r>
            <w:hyperlink r:id="rId1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Guida Operativa per il rispetto del principio DNSH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Report redatto secondo quanto previsto dalle linee Guida Tassonomiche riportate come nell'appendice della guida operativa DNSH (pag.316).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Nel caso di opere che superano la soglia dei 10 milioni di euro, rispondere al punto 3.1 al posto del punto 3</w:t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3.1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E' stata effettuata una valutazione di vulnerabilità e del rischio per il clima in base agli Orientamenti sulla verifica climatica delle infrastrutture 2021-2027?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Orientamenti tecnici per infrastrutture a prova di clima nel periodo 2021-2027 (2021/C 373/01)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2F">
            <w:pPr>
              <w:rPr>
                <w:color w:val="0563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Se applicabile, è stato previsto l'utilizzo di impianti idrico sanitari conformi alle specifiche tecniche e agli standard riportati?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5">
            <w:pPr>
              <w:rPr/>
            </w:pPr>
            <w:hyperlink r:id="rId14">
              <w:r w:rsidDel="00000000" w:rsidR="00000000" w:rsidRPr="00000000">
                <w:rPr>
                  <w:rtl w:val="0"/>
                </w:rPr>
                <w:t xml:space="preserve">http://www.europeanwaterlabel.eu/.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Appendice dell’allegato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È stato redatto il Piano di gestione rifiuti? Il requisito da dimostrare è che almeno il 70% (in termini di peso) dei rifiuti da costruzione e demolizione non pericolosi (escluso il materiale allo stato naturale definito alla voce 17 05 04 dell'</w:t>
            </w:r>
            <w:hyperlink r:id="rId15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elenco europeo dei rifiuti istituito dalla decisione 2000/532/CE</w:t>
              </w:r>
            </w:hyperlink>
            <w:r w:rsidDel="00000000" w:rsidR="00000000" w:rsidRPr="00000000">
              <w:rPr>
                <w:rtl w:val="0"/>
              </w:rPr>
              <w:t xml:space="preserve">) prodotti in cantiere è preparato per il riutilizzo, il riciclaggio e altri tipi di recupero di materiale, conformemente alla gerarchia dei rifiuti e al protocollo UE per la gestione dei rifiuti da costruzione e demolizione.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E">
            <w:pPr>
              <w:rPr/>
            </w:pPr>
            <w:hyperlink r:id="rId16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DM 23 giugno 2022 n. 256 GURI n. 183 del 6 agosto 2022</w:t>
              </w:r>
            </w:hyperlink>
            <w:r w:rsidDel="00000000" w:rsidR="00000000" w:rsidRPr="00000000">
              <w:rPr>
                <w:rtl w:val="0"/>
              </w:rPr>
              <w:t xml:space="preserve">, specificatamente osservare: 2.6.2; </w:t>
            </w:r>
            <w:hyperlink r:id="rId1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LINEE GUIDA PER LA GESTIONE DEI CANTIERI AI FINI DELLA PROTEZIONE AMBIENTALE</w:t>
                <w:br w:type="textWrapping"/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3F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Piano gestione rifiuti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Il progetto prevede il rispetto dei criteri di disassemblaggio e fine vita specificati nella scheda tecnica?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5">
            <w:pPr>
              <w:rPr/>
            </w:pPr>
            <w:hyperlink r:id="rId1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DM 23 giugno 2022 n. 256 GURI n. 183 del 6 agosto 2022</w:t>
              </w:r>
            </w:hyperlink>
            <w:r w:rsidDel="00000000" w:rsidR="00000000" w:rsidRPr="00000000">
              <w:rPr>
                <w:rtl w:val="0"/>
              </w:rPr>
              <w:t xml:space="preserve">, specificatamente osservare: 2.4.14;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6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Redazione del piano per il disassemblaggio e la demolizione selettiva in linea con i CAM vigenti.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È stato svolto il censimento Manufatti Contenenti Amianto (MCA)?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hyperlink r:id="rId1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DM 6 Settembre 1994 (amianto)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2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decreto legislativo 81/08 sulla bonifica dell'amianto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D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Analisi preliminare del tecnico/asseveratore; norma per il censimento dell'amianto UNI 11870:2022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È stato redatto il Piano Ambientale di Cantierizzazione (PAC)?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3">
            <w:pPr>
              <w:rPr/>
            </w:pPr>
            <w:hyperlink r:id="rId2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LINEE GUIDA PER LA GESTIONE DEI CANTIERI AI FINI DELLA PROTEZIONE AMBIENTALE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2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D.M. 11 Ottobre 2017</w:t>
              </w:r>
            </w:hyperlink>
            <w:r w:rsidDel="00000000" w:rsidR="00000000" w:rsidRPr="00000000">
              <w:rPr>
                <w:rtl w:val="0"/>
              </w:rPr>
              <w:t xml:space="preserve"> "Criteri ambientali minimi per l'affidamento di servizi di progettazione e lavori per la nuova costruzione,</w:t>
              <w:br w:type="textWrapping"/>
              <w:t xml:space="preserve">ristrutturazione e manutenzione di edifici pubblici" ; </w:t>
            </w:r>
            <w:hyperlink r:id="rId2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Decreto legislativo 3 Aprile 2006 num. 152</w:t>
              </w:r>
            </w:hyperlink>
            <w:r w:rsidDel="00000000" w:rsidR="00000000" w:rsidRPr="00000000">
              <w:rPr>
                <w:rtl w:val="0"/>
              </w:rPr>
              <w:t xml:space="preserve"> "Norme in materia ambientale"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4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PAC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Sono state indicate le limitazioni delle caratteristiche di pericolo dei materiali che si prevede utilizzare (Art. 57, Regolamento CE 1907/2006, REACH)?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A">
            <w:pPr>
              <w:rPr/>
            </w:pPr>
            <w:hyperlink r:id="rId24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REGOLAMENTO (CE) N. 1907/2006 DEL PARLAMENTO EUROPEO E DEL CONSIGLIO del 18 dicembre 2006 (REACH)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Verifica dei consumi di legno con definizione delle previste condizioni di impiego (certificazione FSC/PEFC o altra certificazione equivalente di prodotto rilasciata sotto accreditamento per il legno vergine, certificazione di prodotto rilasciata sotto accreditamento della provenienza da recupero/riutilizzo)?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1">
            <w:pPr>
              <w:rPr/>
            </w:pPr>
            <w:hyperlink r:id="rId25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D.M. 11 Ottobre 2017 </w:t>
              </w:r>
            </w:hyperlink>
            <w:r w:rsidDel="00000000" w:rsidR="00000000" w:rsidRPr="00000000">
              <w:rPr>
                <w:rtl w:val="0"/>
              </w:rPr>
              <w:t xml:space="preserve">"Criteri ambientali minimi per l'affidamento di servizi di progettazione e lavori per la nuova costruzione, ristrutturazione e manutenzione di edifici pubblici"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22.0" w:type="dxa"/>
              <w:left w:w="32.0" w:type="dxa"/>
              <w:bottom w:w="22.0" w:type="dxa"/>
              <w:right w:w="32.0" w:type="dxa"/>
            </w:tcMar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297B2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297B28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297B28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normattiva.it/uri-res/N2Ls?urn:nir:stato:decreto.legislativo:2008;81" TargetMode="External"/><Relationship Id="rId22" Type="http://schemas.openxmlformats.org/officeDocument/2006/relationships/hyperlink" Target="https://www.anit.it/wp-content/uploads/2017/11/DM-11-ottobre-2017-1.pdf" TargetMode="External"/><Relationship Id="rId21" Type="http://schemas.openxmlformats.org/officeDocument/2006/relationships/hyperlink" Target="https://www.certifico.com/component/attachments/download/7813" TargetMode="External"/><Relationship Id="rId24" Type="http://schemas.openxmlformats.org/officeDocument/2006/relationships/hyperlink" Target="https://eur-lex.europa.eu/legal-content/IT/TXT/PDF/?uri=CELEX:32006R1907R(01)" TargetMode="External"/><Relationship Id="rId23" Type="http://schemas.openxmlformats.org/officeDocument/2006/relationships/hyperlink" Target="https://www.gazzettaufficiale.it/dettaglio/codici/materiaAmbiental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gazzettaufficiale.it/eli/id/1991/01/16/091G0015/sg" TargetMode="External"/><Relationship Id="rId25" Type="http://schemas.openxmlformats.org/officeDocument/2006/relationships/hyperlink" Target="https://www.anit.it/wp-content/uploads/2017/11/DM-11-ottobre-2017-1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ur-lex.europa.eu/legal-content/IT/TXT/PDF/?uri=CELEX:52021XC0218(01)&amp;from=IT" TargetMode="External"/><Relationship Id="rId8" Type="http://schemas.openxmlformats.org/officeDocument/2006/relationships/hyperlink" Target="https://eur-lex.europa.eu/legal-content/IT/TXT/PDF/?uri=CELEX:32003L0087&amp;from=en" TargetMode="External"/><Relationship Id="rId11" Type="http://schemas.openxmlformats.org/officeDocument/2006/relationships/hyperlink" Target="https://eur-lex.europa.eu/legal-content/IT/TXT/PDF/?uri=CELEX:52021XC0916(03)&amp;from=HR" TargetMode="External"/><Relationship Id="rId10" Type="http://schemas.openxmlformats.org/officeDocument/2006/relationships/hyperlink" Target="https://www.gazzettaufficiale.it/eli/id/2015/07/15/15A05198/sg" TargetMode="External"/><Relationship Id="rId13" Type="http://schemas.openxmlformats.org/officeDocument/2006/relationships/hyperlink" Target="https://www.rgs.mef.gov.it/_Documenti/VERSIONE-I/CIRCOLARI/2022/33/20221006_Guida-Operativa.pdf" TargetMode="External"/><Relationship Id="rId12" Type="http://schemas.openxmlformats.org/officeDocument/2006/relationships/hyperlink" Target="https://eur-lex.europa.eu/legal-content/IT/TXT/PDF/?uri=CELEX:32021R2139&amp;from=EN" TargetMode="External"/><Relationship Id="rId15" Type="http://schemas.openxmlformats.org/officeDocument/2006/relationships/hyperlink" Target="https://www.isprambiente.gov.it/contentfiles/00003800/3891-rapporti-02-19.pdf/" TargetMode="External"/><Relationship Id="rId14" Type="http://schemas.openxmlformats.org/officeDocument/2006/relationships/hyperlink" Target="http://www.europeanwaterlabel.eu/" TargetMode="External"/><Relationship Id="rId17" Type="http://schemas.openxmlformats.org/officeDocument/2006/relationships/hyperlink" Target="https://www.certifico.com/component/attachments/download/7813" TargetMode="External"/><Relationship Id="rId16" Type="http://schemas.openxmlformats.org/officeDocument/2006/relationships/hyperlink" Target="https://www.gazzettaufficiale.it/eli/id/2022/08/06/22A04307/sg" TargetMode="External"/><Relationship Id="rId19" Type="http://schemas.openxmlformats.org/officeDocument/2006/relationships/hyperlink" Target="https://www.gazzettaufficiale.it/eli/id/1994/09/20/094A5917/sg" TargetMode="External"/><Relationship Id="rId18" Type="http://schemas.openxmlformats.org/officeDocument/2006/relationships/hyperlink" Target="https://www.gazzettaufficiale.it/eli/id/2022/08/06/22A04307/s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HDWn4kKDdN3XzramfNEd1J0PAw==">AMUW2mWsZsMnbq0tg3Y+QMYxsSbogQHidEXx8AcUqOPssjB1EByaj5Sp+gKr9M4+AInr88ItSrzOogRZNGbdEqO0ZMOXprlju6jsZI3GSwLY/31Pw06j/Ns=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2023-01-17T13:12:00Z</dcterms:created>
  <dc:creator>Giada Cianfarani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2023-01-17T13:12:05Z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9fdf53de-b512-471e-b67c-9db4121d9869</vt:lpwstr>
  </property>
  <property fmtid="{D5CDD505-2E9C-101B-9397-08002B2CF9AE}" pid="8" name="MSIP_Label_5097a60d-5525-435b-8989-8eb48ac0c8cd_ContentBits">
    <vt:lpwstr>0</vt:lpwstr>
  </property>
</Properties>
</file>