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240" w:lineRule="auto"/>
        <w:jc w:val="center"/>
        <w:rPr>
          <w:rFonts w:ascii="Titillium Web" w:cs="Titillium Web" w:eastAsia="Titillium Web" w:hAnsi="Titillium Web"/>
          <w:b w:val="1"/>
          <w:color w:val="0059c8"/>
          <w:sz w:val="30"/>
          <w:szCs w:val="30"/>
        </w:rPr>
      </w:pPr>
      <w:r w:rsidDel="00000000" w:rsidR="00000000" w:rsidRPr="00000000">
        <w:rPr>
          <w:rFonts w:ascii="Titillium Web" w:cs="Titillium Web" w:eastAsia="Titillium Web" w:hAnsi="Titillium Web"/>
          <w:b w:val="1"/>
          <w:color w:val="0059c8"/>
          <w:sz w:val="40"/>
          <w:szCs w:val="40"/>
          <w:rtl w:val="0"/>
        </w:rPr>
        <w:t xml:space="preserve">Check-list Scheda 5</w:t>
      </w:r>
      <w:r w:rsidDel="00000000" w:rsidR="00000000" w:rsidRPr="00000000">
        <w:rPr>
          <w:rFonts w:ascii="Titillium Web" w:cs="Titillium Web" w:eastAsia="Titillium Web" w:hAnsi="Titillium Web"/>
          <w:b w:val="1"/>
          <w:color w:val="0059c8"/>
          <w:sz w:val="30"/>
          <w:szCs w:val="30"/>
          <w:rtl w:val="0"/>
        </w:rPr>
        <w:t xml:space="preserve">:</w:t>
      </w:r>
    </w:p>
    <w:p w:rsidR="00000000" w:rsidDel="00000000" w:rsidP="00000000" w:rsidRDefault="00000000" w:rsidRPr="00000000" w14:paraId="00000002">
      <w:pPr>
        <w:widowControl w:val="0"/>
        <w:spacing w:after="0" w:line="240" w:lineRule="auto"/>
        <w:jc w:val="center"/>
        <w:rPr>
          <w:rFonts w:ascii="Titillium Web" w:cs="Titillium Web" w:eastAsia="Titillium Web" w:hAnsi="Titillium Web"/>
          <w:b w:val="1"/>
          <w:color w:val="0563c1"/>
          <w:sz w:val="30"/>
          <w:szCs w:val="30"/>
        </w:rPr>
      </w:pPr>
      <w:r w:rsidDel="00000000" w:rsidR="00000000" w:rsidRPr="00000000">
        <w:rPr>
          <w:rFonts w:ascii="Titillium Web" w:cs="Titillium Web" w:eastAsia="Titillium Web" w:hAnsi="Titillium Web"/>
          <w:b w:val="1"/>
          <w:color w:val="0563c1"/>
          <w:sz w:val="30"/>
          <w:szCs w:val="30"/>
          <w:rtl w:val="0"/>
        </w:rPr>
        <w:t xml:space="preserve"> "</w:t>
      </w:r>
      <w:r w:rsidDel="00000000" w:rsidR="00000000" w:rsidRPr="00000000">
        <w:rPr>
          <w:rFonts w:ascii="Titillium Web" w:cs="Titillium Web" w:eastAsia="Titillium Web" w:hAnsi="Titillium Web"/>
          <w:b w:val="1"/>
          <w:color w:val="0563c1"/>
          <w:sz w:val="30"/>
          <w:szCs w:val="30"/>
          <w:u w:val="single"/>
          <w:rtl w:val="0"/>
        </w:rPr>
        <w:t xml:space="preserve">INTERVENTI EDILI E CANTIERISTICA GENERICA NON CONNESSI CON LA COSTRUZIONE/RINNOVAMENTO DI EDIFICI</w:t>
      </w:r>
      <w:r w:rsidDel="00000000" w:rsidR="00000000" w:rsidRPr="00000000">
        <w:rPr>
          <w:rFonts w:ascii="Titillium Web" w:cs="Titillium Web" w:eastAsia="Titillium Web" w:hAnsi="Titillium Web"/>
          <w:b w:val="1"/>
          <w:color w:val="0563c1"/>
          <w:sz w:val="30"/>
          <w:szCs w:val="30"/>
          <w:rtl w:val="0"/>
        </w:rPr>
        <w:t xml:space="preserve">”</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bl>
      <w:tblPr>
        <w:tblStyle w:val="Table1"/>
        <w:tblW w:w="14300.0" w:type="dxa"/>
        <w:jc w:val="left"/>
        <w:tblLayout w:type="fixed"/>
        <w:tblLook w:val="0600"/>
      </w:tblPr>
      <w:tblGrid>
        <w:gridCol w:w="1375"/>
        <w:gridCol w:w="695"/>
        <w:gridCol w:w="3980"/>
        <w:gridCol w:w="2765"/>
        <w:gridCol w:w="2772"/>
        <w:gridCol w:w="1282"/>
        <w:gridCol w:w="1431"/>
        <w:tblGridChange w:id="0">
          <w:tblGrid>
            <w:gridCol w:w="1375"/>
            <w:gridCol w:w="695"/>
            <w:gridCol w:w="3980"/>
            <w:gridCol w:w="2765"/>
            <w:gridCol w:w="2772"/>
            <w:gridCol w:w="1282"/>
            <w:gridCol w:w="1431"/>
          </w:tblGrid>
        </w:tblGridChange>
      </w:tblGrid>
      <w:tr>
        <w:trPr>
          <w:cantSplit w:val="0"/>
          <w:trHeight w:val="501" w:hRule="atLeast"/>
          <w:tblHeader w:val="0"/>
        </w:trPr>
        <w:tc>
          <w:tcPr>
            <w:tcBorders>
              <w:top w:color="000000" w:space="0" w:sz="8" w:val="single"/>
              <w:left w:color="000000" w:space="0" w:sz="8" w:val="single"/>
              <w:bottom w:color="000000" w:space="0" w:sz="8" w:val="single"/>
              <w:right w:color="000000" w:space="0" w:sz="6" w:val="single"/>
            </w:tcBorders>
            <w:shd w:fill="0563c1" w:val="clear"/>
            <w:tcMar>
              <w:top w:w="22.0" w:type="dxa"/>
              <w:left w:w="32.0" w:type="dxa"/>
              <w:bottom w:w="22.0" w:type="dxa"/>
              <w:right w:w="32.0" w:type="dxa"/>
            </w:tcMar>
          </w:tcPr>
          <w:p w:rsidR="00000000" w:rsidDel="00000000" w:rsidP="00000000" w:rsidRDefault="00000000" w:rsidRPr="00000000" w14:paraId="00000004">
            <w:pPr>
              <w:rPr>
                <w:color w:val="ffffff"/>
              </w:rPr>
            </w:pPr>
            <w:r w:rsidDel="00000000" w:rsidR="00000000" w:rsidRPr="00000000">
              <w:rPr>
                <w:b w:val="1"/>
                <w:color w:val="ffffff"/>
                <w:rtl w:val="0"/>
              </w:rPr>
              <w:t xml:space="preserve">Svolgimento</w:t>
            </w:r>
            <w:r w:rsidDel="00000000" w:rsidR="00000000" w:rsidRPr="00000000">
              <w:rPr>
                <w:rtl w:val="0"/>
              </w:rPr>
            </w:r>
          </w:p>
          <w:p w:rsidR="00000000" w:rsidDel="00000000" w:rsidP="00000000" w:rsidRDefault="00000000" w:rsidRPr="00000000" w14:paraId="00000005">
            <w:pPr>
              <w:rPr>
                <w:color w:val="ffffff"/>
              </w:rPr>
            </w:pPr>
            <w:r w:rsidDel="00000000" w:rsidR="00000000" w:rsidRPr="00000000">
              <w:rPr>
                <w:b w:val="1"/>
                <w:color w:val="ffffff"/>
                <w:rtl w:val="0"/>
              </w:rPr>
              <w:t xml:space="preserve">delle verifiche</w:t>
            </w:r>
            <w:r w:rsidDel="00000000" w:rsidR="00000000" w:rsidRPr="00000000">
              <w:rPr>
                <w:rtl w:val="0"/>
              </w:rPr>
            </w:r>
          </w:p>
        </w:tc>
        <w:tc>
          <w:tcPr>
            <w:tcBorders>
              <w:top w:color="000000" w:space="0" w:sz="8" w:val="single"/>
              <w:left w:color="000000" w:space="0" w:sz="6" w:val="single"/>
              <w:bottom w:color="000000" w:space="0" w:sz="8" w:val="single"/>
              <w:right w:color="000000" w:space="0" w:sz="6" w:val="single"/>
            </w:tcBorders>
            <w:shd w:fill="0563c1" w:val="clear"/>
            <w:tcMar>
              <w:top w:w="22.0" w:type="dxa"/>
              <w:left w:w="32.0" w:type="dxa"/>
              <w:bottom w:w="22.0" w:type="dxa"/>
              <w:right w:w="32.0" w:type="dxa"/>
            </w:tcMar>
          </w:tcPr>
          <w:p w:rsidR="00000000" w:rsidDel="00000000" w:rsidP="00000000" w:rsidRDefault="00000000" w:rsidRPr="00000000" w14:paraId="00000006">
            <w:pPr>
              <w:rPr>
                <w:color w:val="ffffff"/>
              </w:rPr>
            </w:pPr>
            <w:r w:rsidDel="00000000" w:rsidR="00000000" w:rsidRPr="00000000">
              <w:rPr>
                <w:b w:val="1"/>
                <w:color w:val="ffffff"/>
                <w:rtl w:val="0"/>
              </w:rPr>
              <w:t xml:space="preserve">n.</w:t>
            </w:r>
            <w:r w:rsidDel="00000000" w:rsidR="00000000" w:rsidRPr="00000000">
              <w:rPr>
                <w:rtl w:val="0"/>
              </w:rPr>
            </w:r>
          </w:p>
        </w:tc>
        <w:tc>
          <w:tcPr>
            <w:tcBorders>
              <w:top w:color="000000" w:space="0" w:sz="8" w:val="single"/>
              <w:left w:color="000000" w:space="0" w:sz="6" w:val="single"/>
              <w:bottom w:color="000000" w:space="0" w:sz="8" w:val="single"/>
              <w:right w:color="000000" w:space="0" w:sz="6" w:val="single"/>
            </w:tcBorders>
            <w:shd w:fill="0563c1" w:val="clear"/>
            <w:tcMar>
              <w:top w:w="22.0" w:type="dxa"/>
              <w:left w:w="32.0" w:type="dxa"/>
              <w:bottom w:w="22.0" w:type="dxa"/>
              <w:right w:w="32.0" w:type="dxa"/>
            </w:tcMar>
          </w:tcPr>
          <w:p w:rsidR="00000000" w:rsidDel="00000000" w:rsidP="00000000" w:rsidRDefault="00000000" w:rsidRPr="00000000" w14:paraId="00000007">
            <w:pPr>
              <w:rPr>
                <w:color w:val="ffffff"/>
              </w:rPr>
            </w:pPr>
            <w:r w:rsidDel="00000000" w:rsidR="00000000" w:rsidRPr="00000000">
              <w:rPr>
                <w:b w:val="1"/>
                <w:color w:val="ffffff"/>
                <w:rtl w:val="0"/>
              </w:rPr>
              <w:t xml:space="preserve">Elementi di Controllo</w:t>
            </w:r>
            <w:r w:rsidDel="00000000" w:rsidR="00000000" w:rsidRPr="00000000">
              <w:rPr>
                <w:rtl w:val="0"/>
              </w:rPr>
            </w:r>
          </w:p>
        </w:tc>
        <w:tc>
          <w:tcPr>
            <w:tcBorders>
              <w:top w:color="000000" w:space="0" w:sz="8" w:val="single"/>
              <w:left w:color="000000" w:space="0" w:sz="6" w:val="single"/>
              <w:bottom w:color="000000" w:space="0" w:sz="8" w:val="single"/>
              <w:right w:color="000000" w:space="0" w:sz="6" w:val="single"/>
            </w:tcBorders>
            <w:shd w:fill="0563c1" w:val="clear"/>
            <w:tcMar>
              <w:top w:w="22.0" w:type="dxa"/>
              <w:left w:w="32.0" w:type="dxa"/>
              <w:bottom w:w="22.0" w:type="dxa"/>
              <w:right w:w="32.0" w:type="dxa"/>
            </w:tcMar>
          </w:tcPr>
          <w:p w:rsidR="00000000" w:rsidDel="00000000" w:rsidP="00000000" w:rsidRDefault="00000000" w:rsidRPr="00000000" w14:paraId="00000008">
            <w:pPr>
              <w:rPr>
                <w:color w:val="ffffff"/>
              </w:rPr>
            </w:pPr>
            <w:r w:rsidDel="00000000" w:rsidR="00000000" w:rsidRPr="00000000">
              <w:rPr>
                <w:b w:val="1"/>
                <w:color w:val="ffffff"/>
                <w:rtl w:val="0"/>
              </w:rPr>
              <w:t xml:space="preserve">Normativa di riferimento</w:t>
            </w:r>
            <w:r w:rsidDel="00000000" w:rsidR="00000000" w:rsidRPr="00000000">
              <w:rPr>
                <w:rtl w:val="0"/>
              </w:rPr>
            </w:r>
          </w:p>
        </w:tc>
        <w:tc>
          <w:tcPr>
            <w:tcBorders>
              <w:top w:color="000000" w:space="0" w:sz="8" w:val="single"/>
              <w:left w:color="000000" w:space="0" w:sz="6" w:val="single"/>
              <w:bottom w:color="000000" w:space="0" w:sz="8" w:val="single"/>
              <w:right w:color="000000" w:space="0" w:sz="6" w:val="single"/>
            </w:tcBorders>
            <w:shd w:fill="0563c1" w:val="clear"/>
            <w:tcMar>
              <w:top w:w="22.0" w:type="dxa"/>
              <w:left w:w="32.0" w:type="dxa"/>
              <w:bottom w:w="22.0" w:type="dxa"/>
              <w:right w:w="32.0" w:type="dxa"/>
            </w:tcMar>
          </w:tcPr>
          <w:p w:rsidR="00000000" w:rsidDel="00000000" w:rsidP="00000000" w:rsidRDefault="00000000" w:rsidRPr="00000000" w14:paraId="00000009">
            <w:pPr>
              <w:rPr>
                <w:color w:val="ffffff"/>
              </w:rPr>
            </w:pPr>
            <w:r w:rsidDel="00000000" w:rsidR="00000000" w:rsidRPr="00000000">
              <w:rPr>
                <w:b w:val="1"/>
                <w:color w:val="ffffff"/>
                <w:rtl w:val="0"/>
              </w:rPr>
              <w:t xml:space="preserve">Certificazione richiesta</w:t>
            </w:r>
            <w:r w:rsidDel="00000000" w:rsidR="00000000" w:rsidRPr="00000000">
              <w:rPr>
                <w:rtl w:val="0"/>
              </w:rPr>
            </w:r>
          </w:p>
        </w:tc>
        <w:tc>
          <w:tcPr>
            <w:tcBorders>
              <w:top w:color="000000" w:space="0" w:sz="8" w:val="single"/>
              <w:left w:color="000000" w:space="0" w:sz="6" w:val="single"/>
              <w:bottom w:color="000000" w:space="0" w:sz="8" w:val="single"/>
              <w:right w:color="000000" w:space="0" w:sz="6" w:val="single"/>
            </w:tcBorders>
            <w:shd w:fill="0563c1" w:val="clear"/>
            <w:tcMar>
              <w:top w:w="22.0" w:type="dxa"/>
              <w:left w:w="32.0" w:type="dxa"/>
              <w:bottom w:w="22.0" w:type="dxa"/>
              <w:right w:w="32.0" w:type="dxa"/>
            </w:tcMar>
          </w:tcPr>
          <w:p w:rsidR="00000000" w:rsidDel="00000000" w:rsidP="00000000" w:rsidRDefault="00000000" w:rsidRPr="00000000" w14:paraId="0000000A">
            <w:pPr>
              <w:rPr>
                <w:color w:val="ffffff"/>
              </w:rPr>
            </w:pPr>
            <w:r w:rsidDel="00000000" w:rsidR="00000000" w:rsidRPr="00000000">
              <w:rPr>
                <w:b w:val="1"/>
                <w:color w:val="ffffff"/>
                <w:rtl w:val="0"/>
              </w:rPr>
              <w:t xml:space="preserve">Esito (Sì/No/Non applicabile)</w:t>
            </w:r>
            <w:r w:rsidDel="00000000" w:rsidR="00000000" w:rsidRPr="00000000">
              <w:rPr>
                <w:rtl w:val="0"/>
              </w:rPr>
            </w:r>
          </w:p>
        </w:tc>
        <w:tc>
          <w:tcPr>
            <w:tcBorders>
              <w:top w:color="000000" w:space="0" w:sz="8" w:val="single"/>
              <w:left w:color="000000" w:space="0" w:sz="6" w:val="single"/>
              <w:bottom w:color="000000" w:space="0" w:sz="8" w:val="single"/>
              <w:right w:color="000000" w:space="0" w:sz="8" w:val="single"/>
            </w:tcBorders>
            <w:shd w:fill="0563c1" w:val="clear"/>
            <w:tcMar>
              <w:top w:w="22.0" w:type="dxa"/>
              <w:left w:w="32.0" w:type="dxa"/>
              <w:bottom w:w="22.0" w:type="dxa"/>
              <w:right w:w="32.0" w:type="dxa"/>
            </w:tcMar>
          </w:tcPr>
          <w:p w:rsidR="00000000" w:rsidDel="00000000" w:rsidP="00000000" w:rsidRDefault="00000000" w:rsidRPr="00000000" w14:paraId="0000000B">
            <w:pPr>
              <w:rPr>
                <w:color w:val="ffffff"/>
              </w:rPr>
            </w:pPr>
            <w:r w:rsidDel="00000000" w:rsidR="00000000" w:rsidRPr="00000000">
              <w:rPr>
                <w:b w:val="1"/>
                <w:color w:val="ffffff"/>
                <w:rtl w:val="0"/>
              </w:rPr>
              <w:t xml:space="preserve">Commento (obbligatorio in caso di N/A)</w:t>
            </w:r>
            <w:r w:rsidDel="00000000" w:rsidR="00000000" w:rsidRPr="00000000">
              <w:rPr>
                <w:rtl w:val="0"/>
              </w:rPr>
            </w:r>
          </w:p>
        </w:tc>
      </w:tr>
      <w:tr>
        <w:trPr>
          <w:cantSplit w:val="0"/>
          <w:trHeight w:val="185" w:hRule="atLeast"/>
          <w:tblHeader w:val="0"/>
        </w:trPr>
        <w:tc>
          <w:tcPr>
            <w:tcBorders>
              <w:top w:color="000000" w:space="0" w:sz="8" w:val="single"/>
              <w:left w:color="000000" w:space="0" w:sz="8" w:val="single"/>
              <w:bottom w:color="000000" w:space="0" w:sz="8" w:val="single"/>
              <w:right w:color="000000" w:space="0" w:sz="6" w:val="single"/>
            </w:tcBorders>
            <w:shd w:fill="b7b7b7" w:val="clear"/>
            <w:tcMar>
              <w:top w:w="22.0" w:type="dxa"/>
              <w:left w:w="32.0" w:type="dxa"/>
              <w:bottom w:w="22.0" w:type="dxa"/>
              <w:right w:w="32.0" w:type="dxa"/>
            </w:tcMar>
          </w:tcPr>
          <w:p w:rsidR="00000000" w:rsidDel="00000000" w:rsidP="00000000" w:rsidRDefault="00000000" w:rsidRPr="00000000" w14:paraId="0000000C">
            <w:pPr>
              <w:rPr/>
            </w:pPr>
            <w:r w:rsidDel="00000000" w:rsidR="00000000" w:rsidRPr="00000000">
              <w:rPr>
                <w:rtl w:val="0"/>
              </w:rPr>
            </w:r>
          </w:p>
        </w:tc>
        <w:tc>
          <w:tcPr>
            <w:gridSpan w:val="6"/>
            <w:tcBorders>
              <w:top w:color="000000" w:space="0" w:sz="8" w:val="single"/>
              <w:left w:color="000000" w:space="0" w:sz="6" w:val="single"/>
              <w:bottom w:color="000000" w:space="0" w:sz="8" w:val="single"/>
              <w:right w:color="000000" w:space="0" w:sz="6" w:val="single"/>
            </w:tcBorders>
            <w:shd w:fill="d9d9d9" w:val="clear"/>
            <w:tcMar>
              <w:top w:w="22.0" w:type="dxa"/>
              <w:left w:w="32.0" w:type="dxa"/>
              <w:bottom w:w="22.0" w:type="dxa"/>
              <w:right w:w="32.0" w:type="dxa"/>
            </w:tcMar>
          </w:tcPr>
          <w:p w:rsidR="00000000" w:rsidDel="00000000" w:rsidP="00000000" w:rsidRDefault="00000000" w:rsidRPr="00000000" w14:paraId="0000000D">
            <w:pPr>
              <w:rPr/>
            </w:pPr>
            <w:r w:rsidDel="00000000" w:rsidR="00000000" w:rsidRPr="00000000">
              <w:rPr>
                <w:i w:val="1"/>
                <w:rtl w:val="0"/>
              </w:rPr>
              <w:t xml:space="preserve">I </w:t>
            </w:r>
            <w:r w:rsidDel="00000000" w:rsidR="00000000" w:rsidRPr="00000000">
              <w:rPr>
                <w:b w:val="1"/>
                <w:i w:val="1"/>
                <w:rtl w:val="0"/>
              </w:rPr>
              <w:t xml:space="preserve">punti 1 e 2</w:t>
            </w:r>
            <w:r w:rsidDel="00000000" w:rsidR="00000000" w:rsidRPr="00000000">
              <w:rPr>
                <w:i w:val="1"/>
                <w:rtl w:val="0"/>
              </w:rPr>
              <w:t xml:space="preserve"> sono da considerarsi come elementi di premialità. </w:t>
            </w:r>
            <w:r w:rsidDel="00000000" w:rsidR="00000000" w:rsidRPr="00000000">
              <w:rPr>
                <w:b w:val="1"/>
                <w:i w:val="1"/>
                <w:rtl w:val="0"/>
              </w:rPr>
              <w:t xml:space="preserve">NON OBBLIGATORI</w:t>
            </w:r>
            <w:r w:rsidDel="00000000" w:rsidR="00000000" w:rsidRPr="00000000">
              <w:rPr>
                <w:rtl w:val="0"/>
              </w:rPr>
            </w:r>
          </w:p>
        </w:tc>
      </w:tr>
      <w:tr>
        <w:trPr>
          <w:cantSplit w:val="0"/>
          <w:trHeight w:val="625" w:hRule="atLeast"/>
          <w:tblHeader w:val="0"/>
        </w:trPr>
        <w:tc>
          <w:tcPr>
            <w:vMerge w:val="restart"/>
            <w:tcBorders>
              <w:top w:color="000000" w:space="0" w:sz="8" w:val="single"/>
              <w:left w:color="000000" w:space="0" w:sz="8" w:val="single"/>
              <w:bottom w:color="000000" w:space="0" w:sz="8"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13">
            <w:pPr>
              <w:rPr/>
            </w:pPr>
            <w:r w:rsidDel="00000000" w:rsidR="00000000" w:rsidRPr="00000000">
              <w:rPr>
                <w:rtl w:val="0"/>
              </w:rPr>
              <w:t xml:space="preserve">Ex-ante</w:t>
            </w:r>
          </w:p>
          <w:p w:rsidR="00000000" w:rsidDel="00000000" w:rsidP="00000000" w:rsidRDefault="00000000" w:rsidRPr="00000000" w14:paraId="00000014">
            <w:pPr>
              <w:rPr/>
            </w:pPr>
            <w:r w:rsidDel="00000000" w:rsidR="00000000" w:rsidRPr="00000000">
              <w:rPr>
                <w:rtl w:val="0"/>
              </w:rPr>
            </w:r>
          </w:p>
        </w:tc>
        <w:tc>
          <w:tcPr>
            <w:tcBorders>
              <w:top w:color="000000" w:space="0" w:sz="8"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15">
            <w:pPr>
              <w:rPr/>
            </w:pPr>
            <w:r w:rsidDel="00000000" w:rsidR="00000000" w:rsidRPr="00000000">
              <w:rPr>
                <w:rtl w:val="0"/>
              </w:rPr>
              <w:t xml:space="preserve">1</w:t>
            </w:r>
          </w:p>
        </w:tc>
        <w:tc>
          <w:tcPr>
            <w:tcBorders>
              <w:top w:color="000000" w:space="0" w:sz="8"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16">
            <w:pPr>
              <w:rPr/>
            </w:pPr>
            <w:r w:rsidDel="00000000" w:rsidR="00000000" w:rsidRPr="00000000">
              <w:rPr>
                <w:rtl w:val="0"/>
              </w:rPr>
              <w:t xml:space="preserve">E' presente una dichiarazione del fornitore di energia elettrica relativa all’impegno di garantire fornitura elettrica prodotta al 100% da fonti rinnovabili?</w:t>
            </w:r>
          </w:p>
        </w:tc>
        <w:tc>
          <w:tcPr>
            <w:tcBorders>
              <w:top w:color="000000" w:space="0" w:sz="8"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17">
            <w:pPr>
              <w:rPr/>
            </w:pPr>
            <w:hyperlink r:id="rId7">
              <w:r w:rsidDel="00000000" w:rsidR="00000000" w:rsidRPr="00000000">
                <w:rPr>
                  <w:color w:val="0563c1"/>
                  <w:u w:val="single"/>
                  <w:rtl w:val="0"/>
                </w:rPr>
                <w:t xml:space="preserve">LINEE GUIDA PER LA GESTIONE DEI CANTIERI AI FINI DELLA PROTEZIONE AMBIENTALE </w:t>
              </w:r>
            </w:hyperlink>
            <w:r w:rsidDel="00000000" w:rsidR="00000000" w:rsidRPr="00000000">
              <w:rPr>
                <w:rtl w:val="0"/>
              </w:rPr>
              <w:t xml:space="preserve">;</w:t>
              <w:br w:type="textWrapping"/>
            </w:r>
            <w:hyperlink r:id="rId8">
              <w:r w:rsidDel="00000000" w:rsidR="00000000" w:rsidRPr="00000000">
                <w:rPr>
                  <w:color w:val="0563c1"/>
                  <w:u w:val="single"/>
                  <w:rtl w:val="0"/>
                </w:rPr>
                <w:t xml:space="preserve">Direttiva 2009/28/CE </w:t>
              </w:r>
            </w:hyperlink>
            <w:r w:rsidDel="00000000" w:rsidR="00000000" w:rsidRPr="00000000">
              <w:rPr>
                <w:rtl w:val="0"/>
              </w:rPr>
              <w:t xml:space="preserve">"</w:t>
            </w:r>
            <w:r w:rsidDel="00000000" w:rsidR="00000000" w:rsidRPr="00000000">
              <w:rPr>
                <w:i w:val="1"/>
                <w:rtl w:val="0"/>
              </w:rPr>
              <w:t xml:space="preserve">sulla promozione dell’uso dell’energia da fonti rinnovabili</w:t>
            </w:r>
            <w:r w:rsidDel="00000000" w:rsidR="00000000" w:rsidRPr="00000000">
              <w:rPr>
                <w:rtl w:val="0"/>
              </w:rPr>
              <w:t xml:space="preserve">" (art.15); Qualifica IGO di un impianto rilasciata da GSE s.p.a.</w:t>
            </w:r>
          </w:p>
        </w:tc>
        <w:tc>
          <w:tcPr>
            <w:tcBorders>
              <w:top w:color="000000" w:space="0" w:sz="8"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18">
            <w:pPr>
              <w:rPr/>
            </w:pPr>
            <w:r w:rsidDel="00000000" w:rsidR="00000000" w:rsidRPr="00000000">
              <w:rPr>
                <w:rtl w:val="0"/>
              </w:rPr>
              <w:t xml:space="preserve">PAC e Certificazione GO del fornitore</w:t>
            </w:r>
          </w:p>
        </w:tc>
        <w:tc>
          <w:tcPr>
            <w:tcBorders>
              <w:top w:color="000000" w:space="0" w:sz="8"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19">
            <w:pPr>
              <w:rPr/>
            </w:pPr>
            <w:r w:rsidDel="00000000" w:rsidR="00000000" w:rsidRPr="00000000">
              <w:rPr>
                <w:rtl w:val="0"/>
              </w:rPr>
            </w:r>
          </w:p>
        </w:tc>
        <w:tc>
          <w:tcPr>
            <w:tcBorders>
              <w:top w:color="000000" w:space="0" w:sz="8"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1A">
            <w:pPr>
              <w:rPr/>
            </w:pPr>
            <w:r w:rsidDel="00000000" w:rsidR="00000000" w:rsidRPr="00000000">
              <w:rPr>
                <w:rtl w:val="0"/>
              </w:rPr>
            </w:r>
          </w:p>
        </w:tc>
      </w:tr>
      <w:tr>
        <w:trPr>
          <w:cantSplit w:val="0"/>
          <w:trHeight w:val="428" w:hRule="atLeast"/>
          <w:tblHeader w:val="0"/>
        </w:trPr>
        <w:tc>
          <w:tcPr>
            <w:vMerge w:val="continue"/>
            <w:tcBorders>
              <w:top w:color="000000" w:space="0" w:sz="8" w:val="single"/>
              <w:left w:color="000000" w:space="0" w:sz="8" w:val="single"/>
              <w:bottom w:color="000000" w:space="0" w:sz="8"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1C">
            <w:pPr>
              <w:rPr/>
            </w:pPr>
            <w:r w:rsidDel="00000000" w:rsidR="00000000" w:rsidRPr="00000000">
              <w:rPr>
                <w:rtl w:val="0"/>
              </w:rPr>
              <w:t xml:space="preserve">2</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1D">
            <w:pPr>
              <w:rPr/>
            </w:pPr>
            <w:r w:rsidDel="00000000" w:rsidR="00000000" w:rsidRPr="00000000">
              <w:rPr>
                <w:rtl w:val="0"/>
              </w:rPr>
              <w:t xml:space="preserve">E' stato previsto l’impiego di mezzi con le caratteristiche di efficienza indicate nella relativa scheda tecnica?</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1E">
            <w:pPr>
              <w:rPr/>
            </w:pPr>
            <w:r w:rsidDel="00000000" w:rsidR="00000000" w:rsidRPr="00000000">
              <w:rPr>
                <w:rtl w:val="0"/>
              </w:rPr>
              <w:t xml:space="preserve">Mezzi d’opera stradali: ibrido o Euro 6 (o superiore). Trattori e mezzi d’opera non stradali (NRMM): non inferiore allo standard europeo TIER 5 (STAGE V in America)</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1F">
            <w:pPr>
              <w:rPr/>
            </w:pPr>
            <w:r w:rsidDel="00000000" w:rsidR="00000000" w:rsidRPr="00000000">
              <w:rPr>
                <w:rtl w:val="0"/>
              </w:rPr>
              <w:t xml:space="preserve">Mezzi d’opera stradali: ibrido o Euro 6 (o superiore). Trattori e mezzi d’opera non stradali (NRMM): non inferiore allo standard europeo TIER 5 (STAGE V in America)</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20">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21">
            <w:pPr>
              <w:rPr/>
            </w:pPr>
            <w:r w:rsidDel="00000000" w:rsidR="00000000" w:rsidRPr="00000000">
              <w:rPr>
                <w:rtl w:val="0"/>
              </w:rPr>
            </w:r>
          </w:p>
        </w:tc>
      </w:tr>
      <w:tr>
        <w:trPr>
          <w:cantSplit w:val="0"/>
          <w:trHeight w:val="596" w:hRule="atLeast"/>
          <w:tblHeader w:val="0"/>
        </w:trPr>
        <w:tc>
          <w:tcPr>
            <w:vMerge w:val="continue"/>
            <w:tcBorders>
              <w:top w:color="000000" w:space="0" w:sz="8" w:val="single"/>
              <w:left w:color="000000" w:space="0" w:sz="8" w:val="single"/>
              <w:bottom w:color="000000" w:space="0" w:sz="8"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8"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23">
            <w:pPr>
              <w:rPr/>
            </w:pPr>
            <w:r w:rsidDel="00000000" w:rsidR="00000000" w:rsidRPr="00000000">
              <w:rPr>
                <w:rtl w:val="0"/>
              </w:rPr>
              <w:t xml:space="preserve">3</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24">
            <w:pPr>
              <w:rPr/>
            </w:pPr>
            <w:r w:rsidDel="00000000" w:rsidR="00000000" w:rsidRPr="00000000">
              <w:rPr>
                <w:rtl w:val="0"/>
              </w:rPr>
              <w:t xml:space="preserve">E' stato previsto uno studio Geologico e idrogeologico relativo alla pericolosità dell’area di cantiere per la verifica di condizioni di rischio idrogeologico?*</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25">
            <w:pPr>
              <w:rPr/>
            </w:pPr>
            <w:hyperlink r:id="rId9">
              <w:r w:rsidDel="00000000" w:rsidR="00000000" w:rsidRPr="00000000">
                <w:rPr>
                  <w:color w:val="0563c1"/>
                  <w:u w:val="single"/>
                  <w:rtl w:val="0"/>
                </w:rPr>
                <w:t xml:space="preserve">Decreto legislativo 9 aprile 2008, n. 81</w:t>
              </w:r>
            </w:hyperlink>
            <w:r w:rsidDel="00000000" w:rsidR="00000000" w:rsidRPr="00000000">
              <w:rPr>
                <w:rtl w:val="0"/>
              </w:rPr>
              <w:t xml:space="preserve"> (sicurezza nei luoghi di lavoro) </w:t>
            </w:r>
            <w:hyperlink r:id="rId10">
              <w:r w:rsidDel="00000000" w:rsidR="00000000" w:rsidRPr="00000000">
                <w:rPr>
                  <w:color w:val="0563c1"/>
                  <w:u w:val="single"/>
                  <w:rtl w:val="0"/>
                </w:rPr>
                <w:t xml:space="preserve">Titolo IV CANTIERI TEMPORANEI O MOBILI</w:t>
              </w:r>
            </w:hyperlink>
            <w:r w:rsidDel="00000000" w:rsidR="00000000" w:rsidRPr="00000000">
              <w:rPr>
                <w:rtl w:val="0"/>
              </w:rPr>
              <w:t xml:space="preserve">;</w:t>
            </w:r>
            <w:hyperlink r:id="rId11">
              <w:r w:rsidDel="00000000" w:rsidR="00000000" w:rsidRPr="00000000">
                <w:rPr>
                  <w:color w:val="0563c1"/>
                  <w:u w:val="single"/>
                  <w:rtl w:val="0"/>
                </w:rPr>
                <w:t xml:space="preserve"> Decreto legislativo 3 aprile 2006, n. 152</w:t>
              </w:r>
            </w:hyperlink>
            <w:r w:rsidDel="00000000" w:rsidR="00000000" w:rsidRPr="00000000">
              <w:rPr>
                <w:rtl w:val="0"/>
              </w:rPr>
              <w:t xml:space="preserve"> ( norme in materia ambientale)</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26">
            <w:pPr>
              <w:rPr/>
            </w:pPr>
            <w:r w:rsidDel="00000000" w:rsidR="00000000" w:rsidRPr="00000000">
              <w:rPr>
                <w:rtl w:val="0"/>
              </w:rPr>
              <w:t xml:space="preserve">Studio/Fascicolo tecnico</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27">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28">
            <w:pPr>
              <w:rPr/>
            </w:pPr>
            <w:r w:rsidDel="00000000" w:rsidR="00000000" w:rsidRPr="00000000">
              <w:rPr>
                <w:rtl w:val="0"/>
              </w:rPr>
            </w:r>
          </w:p>
        </w:tc>
      </w:tr>
      <w:tr>
        <w:trPr>
          <w:cantSplit w:val="0"/>
          <w:trHeight w:val="362" w:hRule="atLeast"/>
          <w:tblHeader w:val="0"/>
        </w:trPr>
        <w:tc>
          <w:tcPr>
            <w:vMerge w:val="continue"/>
            <w:tcBorders>
              <w:top w:color="000000" w:space="0" w:sz="8" w:val="single"/>
              <w:left w:color="000000" w:space="0" w:sz="8" w:val="single"/>
              <w:bottom w:color="000000" w:space="0" w:sz="8"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8"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2A">
            <w:pPr>
              <w:rPr/>
            </w:pPr>
            <w:r w:rsidDel="00000000" w:rsidR="00000000" w:rsidRPr="00000000">
              <w:rPr>
                <w:rtl w:val="0"/>
              </w:rPr>
              <w:t xml:space="preserve">4</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2B">
            <w:pPr>
              <w:rPr/>
            </w:pPr>
            <w:r w:rsidDel="00000000" w:rsidR="00000000" w:rsidRPr="00000000">
              <w:rPr>
                <w:rtl w:val="0"/>
              </w:rPr>
              <w:t xml:space="preserve">E' stato previsto uno studio per valutare il grado di rischio idraulico associato alle aree di cantiere?**</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2C">
            <w:pPr>
              <w:rPr/>
            </w:pPr>
            <w:hyperlink r:id="rId12">
              <w:r w:rsidDel="00000000" w:rsidR="00000000" w:rsidRPr="00000000">
                <w:rPr>
                  <w:color w:val="0563c1"/>
                  <w:u w:val="single"/>
                  <w:rtl w:val="0"/>
                </w:rPr>
                <w:t xml:space="preserve">Decreto legislativo 3 aprile 2006, n. 152</w:t>
              </w:r>
            </w:hyperlink>
            <w:r w:rsidDel="00000000" w:rsidR="00000000" w:rsidRPr="00000000">
              <w:rPr>
                <w:rtl w:val="0"/>
              </w:rPr>
              <w:t xml:space="preserve"> ( Norme in materia ambientale)</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2D">
            <w:pPr>
              <w:rPr/>
            </w:pPr>
            <w:r w:rsidDel="00000000" w:rsidR="00000000" w:rsidRPr="00000000">
              <w:rPr>
                <w:rtl w:val="0"/>
              </w:rPr>
              <w:t xml:space="preserve">Studio/Fascicolo tecnico</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2E">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2F">
            <w:pPr>
              <w:rPr/>
            </w:pPr>
            <w:r w:rsidDel="00000000" w:rsidR="00000000" w:rsidRPr="00000000">
              <w:rPr>
                <w:rtl w:val="0"/>
              </w:rPr>
            </w:r>
          </w:p>
        </w:tc>
      </w:tr>
      <w:tr>
        <w:trPr>
          <w:cantSplit w:val="0"/>
          <w:trHeight w:val="772" w:hRule="atLeast"/>
          <w:tblHeader w:val="0"/>
        </w:trPr>
        <w:tc>
          <w:tcPr>
            <w:vMerge w:val="continue"/>
            <w:tcBorders>
              <w:top w:color="000000" w:space="0" w:sz="8" w:val="single"/>
              <w:left w:color="000000" w:space="0" w:sz="8" w:val="single"/>
              <w:bottom w:color="000000" w:space="0" w:sz="8"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8"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31">
            <w:pPr>
              <w:rPr/>
            </w:pPr>
            <w:r w:rsidDel="00000000" w:rsidR="00000000" w:rsidRPr="00000000">
              <w:rPr>
                <w:rtl w:val="0"/>
              </w:rPr>
              <w:t xml:space="preserve">5</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32">
            <w:pPr>
              <w:rPr/>
            </w:pPr>
            <w:r w:rsidDel="00000000" w:rsidR="00000000" w:rsidRPr="00000000">
              <w:rPr>
                <w:rtl w:val="0"/>
              </w:rPr>
              <w:t xml:space="preserve">Ove previsto dalle normative regionali, dovrà essere redatto Piano di gestione delle acque meteoriche provvedendo alla eventuale acquisizione di specifica autorizzazione per lo scarico delle acque Meteoriche Dilavanti (AMD) rilasciata dall’ente competente per il relativo corpo recettore. E' stato redatto il piano di gestione AMD?</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33">
            <w:pPr>
              <w:rPr/>
            </w:pPr>
            <w:hyperlink r:id="rId13">
              <w:r w:rsidDel="00000000" w:rsidR="00000000" w:rsidRPr="00000000">
                <w:rPr>
                  <w:color w:val="0563c1"/>
                  <w:u w:val="single"/>
                  <w:rtl w:val="0"/>
                </w:rPr>
                <w:t xml:space="preserve">Decreto legislativo 3 aprile 2006, n. 152</w:t>
              </w:r>
            </w:hyperlink>
            <w:r w:rsidDel="00000000" w:rsidR="00000000" w:rsidRPr="00000000">
              <w:rPr>
                <w:rtl w:val="0"/>
              </w:rPr>
              <w:t xml:space="preserve">- CAPO IV ART.11O ( Norme in materia ambientale)</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34">
            <w:pPr>
              <w:rPr/>
            </w:pPr>
            <w:r w:rsidDel="00000000" w:rsidR="00000000" w:rsidRPr="00000000">
              <w:rPr>
                <w:rtl w:val="0"/>
              </w:rPr>
              <w:t xml:space="preserve">PAC </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35">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36">
            <w:pPr>
              <w:rPr/>
            </w:pPr>
            <w:r w:rsidDel="00000000" w:rsidR="00000000" w:rsidRPr="00000000">
              <w:rPr>
                <w:rtl w:val="0"/>
              </w:rPr>
            </w:r>
          </w:p>
        </w:tc>
      </w:tr>
      <w:tr>
        <w:trPr>
          <w:cantSplit w:val="0"/>
          <w:trHeight w:val="542" w:hRule="atLeast"/>
          <w:tblHeader w:val="0"/>
        </w:trPr>
        <w:tc>
          <w:tcPr>
            <w:vMerge w:val="continue"/>
            <w:tcBorders>
              <w:top w:color="000000" w:space="0" w:sz="8" w:val="single"/>
              <w:left w:color="000000" w:space="0" w:sz="8" w:val="single"/>
              <w:bottom w:color="000000" w:space="0" w:sz="8"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8"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38">
            <w:pPr>
              <w:rPr/>
            </w:pPr>
            <w:r w:rsidDel="00000000" w:rsidR="00000000" w:rsidRPr="00000000">
              <w:rPr>
                <w:rtl w:val="0"/>
              </w:rPr>
              <w:t xml:space="preserve">6</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39">
            <w:pPr>
              <w:rPr/>
            </w:pPr>
            <w:r w:rsidDel="00000000" w:rsidR="00000000" w:rsidRPr="00000000">
              <w:rPr>
                <w:rtl w:val="0"/>
              </w:rPr>
              <w:t xml:space="preserve">In caso di apertura di uno scarico di acque reflue, sono state chieste le necessarie autorizzazioni?***</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3A">
            <w:pPr>
              <w:rPr/>
            </w:pPr>
            <w:hyperlink r:id="rId14">
              <w:r w:rsidDel="00000000" w:rsidR="00000000" w:rsidRPr="00000000">
                <w:rPr>
                  <w:color w:val="0563c1"/>
                  <w:u w:val="single"/>
                  <w:rtl w:val="0"/>
                </w:rPr>
                <w:t xml:space="preserve">Decreto legislativo</w:t>
                <w:br w:type="textWrapping"/>
                <w:t xml:space="preserve">3 aprile 2006, n. 152</w:t>
              </w:r>
            </w:hyperlink>
            <w:r w:rsidDel="00000000" w:rsidR="00000000" w:rsidRPr="00000000">
              <w:rPr>
                <w:rtl w:val="0"/>
              </w:rPr>
              <w:t xml:space="preserve">- CAPO II ( Norme in materia ambientale)</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3B">
            <w:pPr>
              <w:rPr/>
            </w:pPr>
            <w:r w:rsidDel="00000000" w:rsidR="00000000" w:rsidRPr="00000000">
              <w:rPr>
                <w:rtl w:val="0"/>
              </w:rPr>
              <w:t xml:space="preserve">Autorizzazione ai sensi del </w:t>
            </w:r>
            <w:hyperlink r:id="rId15">
              <w:r w:rsidDel="00000000" w:rsidR="00000000" w:rsidRPr="00000000">
                <w:rPr>
                  <w:color w:val="0563c1"/>
                  <w:u w:val="single"/>
                  <w:rtl w:val="0"/>
                </w:rPr>
                <w:t xml:space="preserve">Decreto legislativo 12 Aprile 2006 num. 163</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3C">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3D">
            <w:pPr>
              <w:rPr/>
            </w:pPr>
            <w:r w:rsidDel="00000000" w:rsidR="00000000" w:rsidRPr="00000000">
              <w:rPr>
                <w:rtl w:val="0"/>
              </w:rPr>
            </w:r>
          </w:p>
        </w:tc>
      </w:tr>
    </w:tbl>
    <w:p w:rsidR="00000000" w:rsidDel="00000000" w:rsidP="00000000" w:rsidRDefault="00000000" w:rsidRPr="00000000" w14:paraId="0000003E">
      <w:pPr>
        <w:rPr>
          <w:rFonts w:ascii="Titillium Web" w:cs="Titillium Web" w:eastAsia="Titillium Web" w:hAnsi="Titillium Web"/>
          <w:sz w:val="20"/>
          <w:szCs w:val="20"/>
        </w:rPr>
      </w:pPr>
      <w:r w:rsidDel="00000000" w:rsidR="00000000" w:rsidRPr="00000000">
        <w:rPr>
          <w:rFonts w:ascii="Titillium Web" w:cs="Titillium Web" w:eastAsia="Titillium Web" w:hAnsi="Titillium Web"/>
          <w:color w:val="000000"/>
          <w:sz w:val="20"/>
          <w:szCs w:val="20"/>
          <w:rtl w:val="0"/>
        </w:rPr>
        <w:t xml:space="preserve">*:In settori concretamente o potenzialmente interessati da fenomeni gravitativi (frane, smottamenti). Nel caso in cui i vincoli progettuali, territoriali ed operativi non consentissero l’identificazione di aree alternative non soggette a tali rischi, dovranno essere adottate tutte le migliori pratiche per mitigare il rischio. </w:t>
      </w:r>
      <w:r w:rsidDel="00000000" w:rsidR="00000000" w:rsidRPr="00000000">
        <w:rPr>
          <w:rtl w:val="0"/>
        </w:rPr>
      </w:r>
    </w:p>
    <w:p w:rsidR="00000000" w:rsidDel="00000000" w:rsidP="00000000" w:rsidRDefault="00000000" w:rsidRPr="00000000" w14:paraId="0000003F">
      <w:pPr>
        <w:rPr>
          <w:rFonts w:ascii="Titillium Web" w:cs="Titillium Web" w:eastAsia="Titillium Web" w:hAnsi="Titillium Web"/>
          <w:color w:val="000000"/>
          <w:sz w:val="20"/>
          <w:szCs w:val="20"/>
        </w:rPr>
      </w:pPr>
      <w:r w:rsidDel="00000000" w:rsidR="00000000" w:rsidRPr="00000000">
        <w:rPr>
          <w:rFonts w:ascii="Titillium Web" w:cs="Titillium Web" w:eastAsia="Titillium Web" w:hAnsi="Titillium Web"/>
          <w:color w:val="000000"/>
          <w:sz w:val="20"/>
          <w:szCs w:val="20"/>
          <w:rtl w:val="0"/>
        </w:rPr>
        <w:t xml:space="preserve">**: In aree di pertinenza fluviale e/o aree a rischio inondazione. Nel caso i vincoli progettuali, territoriali ed operativi non </w:t>
      </w:r>
      <w:r w:rsidDel="00000000" w:rsidR="00000000" w:rsidRPr="00000000">
        <w:rPr>
          <w:rFonts w:ascii="Titillium Web" w:cs="Titillium Web" w:eastAsia="Titillium Web" w:hAnsi="Titillium Web"/>
          <w:color w:val="000000"/>
          <w:sz w:val="20"/>
          <w:szCs w:val="20"/>
          <w:rtl w:val="0"/>
        </w:rPr>
        <w:t xml:space="preserve">consentissero</w:t>
      </w:r>
      <w:r w:rsidDel="00000000" w:rsidR="00000000" w:rsidRPr="00000000">
        <w:rPr>
          <w:rFonts w:ascii="Titillium Web" w:cs="Titillium Web" w:eastAsia="Titillium Web" w:hAnsi="Titillium Web"/>
          <w:color w:val="000000"/>
          <w:sz w:val="20"/>
          <w:szCs w:val="20"/>
          <w:rtl w:val="0"/>
        </w:rPr>
        <w:t xml:space="preserve"> l’identificazione di aree</w:t>
      </w:r>
    </w:p>
    <w:p w:rsidR="00000000" w:rsidDel="00000000" w:rsidP="00000000" w:rsidRDefault="00000000" w:rsidRPr="00000000" w14:paraId="00000040">
      <w:pPr>
        <w:rPr>
          <w:rFonts w:ascii="Titillium Web" w:cs="Titillium Web" w:eastAsia="Titillium Web" w:hAnsi="Titillium Web"/>
          <w:color w:val="000000"/>
          <w:sz w:val="20"/>
          <w:szCs w:val="20"/>
        </w:rPr>
      </w:pPr>
      <w:r w:rsidDel="00000000" w:rsidR="00000000" w:rsidRPr="00000000">
        <w:rPr>
          <w:rFonts w:ascii="Titillium Web" w:cs="Titillium Web" w:eastAsia="Titillium Web" w:hAnsi="Titillium Web"/>
          <w:color w:val="000000"/>
          <w:sz w:val="20"/>
          <w:szCs w:val="20"/>
          <w:rtl w:val="0"/>
        </w:rPr>
        <w:t xml:space="preserve">alternative non soggette a rischio idraulico, dovrà essere sviluppata apposita valutazione del rischio idraulico sito specifico basato su tempi di ritorno di minimo 50 anni così da identificare le necessarie azioni di tutela/adattamento da implementare a protezione.</w:t>
      </w:r>
    </w:p>
    <w:p w:rsidR="00000000" w:rsidDel="00000000" w:rsidP="00000000" w:rsidRDefault="00000000" w:rsidRPr="00000000" w14:paraId="00000041">
      <w:pPr>
        <w:rPr>
          <w:rFonts w:ascii="Titillium Web" w:cs="Titillium Web" w:eastAsia="Titillium Web" w:hAnsi="Titillium Web"/>
          <w:color w:val="000000"/>
          <w:sz w:val="16"/>
          <w:szCs w:val="16"/>
        </w:rPr>
      </w:pPr>
      <w:r w:rsidDel="00000000" w:rsidR="00000000" w:rsidRPr="00000000">
        <w:rPr>
          <w:rtl w:val="0"/>
        </w:rPr>
      </w:r>
    </w:p>
    <w:p w:rsidR="00000000" w:rsidDel="00000000" w:rsidP="00000000" w:rsidRDefault="00000000" w:rsidRPr="00000000" w14:paraId="00000042">
      <w:pPr>
        <w:rPr>
          <w:rFonts w:ascii="Titillium Web" w:cs="Titillium Web" w:eastAsia="Titillium Web" w:hAnsi="Titillium Web"/>
          <w:color w:val="000000"/>
          <w:sz w:val="16"/>
          <w:szCs w:val="16"/>
        </w:rPr>
      </w:pPr>
      <w:r w:rsidDel="00000000" w:rsidR="00000000" w:rsidRPr="00000000">
        <w:rPr>
          <w:rtl w:val="0"/>
        </w:rPr>
      </w:r>
    </w:p>
    <w:tbl>
      <w:tblPr>
        <w:tblStyle w:val="Table2"/>
        <w:tblW w:w="14306.999999999998" w:type="dxa"/>
        <w:jc w:val="left"/>
        <w:tblLayout w:type="fixed"/>
        <w:tblLook w:val="0600"/>
      </w:tblPr>
      <w:tblGrid>
        <w:gridCol w:w="1135"/>
        <w:gridCol w:w="627"/>
        <w:gridCol w:w="3943"/>
        <w:gridCol w:w="2498"/>
        <w:gridCol w:w="2475"/>
        <w:gridCol w:w="1123"/>
        <w:gridCol w:w="2506"/>
        <w:tblGridChange w:id="0">
          <w:tblGrid>
            <w:gridCol w:w="1135"/>
            <w:gridCol w:w="627"/>
            <w:gridCol w:w="3943"/>
            <w:gridCol w:w="2498"/>
            <w:gridCol w:w="2475"/>
            <w:gridCol w:w="1123"/>
            <w:gridCol w:w="2506"/>
          </w:tblGrid>
        </w:tblGridChange>
      </w:tblGrid>
      <w:tr>
        <w:trPr>
          <w:cantSplit w:val="0"/>
          <w:trHeight w:val="630" w:hRule="atLeast"/>
          <w:tblHeader w:val="0"/>
        </w:trPr>
        <w:tc>
          <w:tcPr>
            <w:vMerge w:val="restart"/>
            <w:tcBorders>
              <w:top w:color="000000" w:space="0" w:sz="8" w:val="single"/>
              <w:left w:color="000000" w:space="0" w:sz="8" w:val="single"/>
              <w:bottom w:color="000000" w:space="0" w:sz="8"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43">
            <w:pPr>
              <w:rPr/>
            </w:pPr>
            <w:r w:rsidDel="00000000" w:rsidR="00000000" w:rsidRPr="00000000">
              <w:rPr>
                <w:rtl w:val="0"/>
              </w:rPr>
            </w:r>
          </w:p>
        </w:tc>
        <w:tc>
          <w:tcPr>
            <w:tcBorders>
              <w:top w:color="000000" w:space="0" w:sz="8"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44">
            <w:pPr>
              <w:rPr/>
            </w:pPr>
            <w:r w:rsidDel="00000000" w:rsidR="00000000" w:rsidRPr="00000000">
              <w:rPr>
                <w:rtl w:val="0"/>
              </w:rPr>
              <w:t xml:space="preserve">7</w:t>
            </w:r>
          </w:p>
        </w:tc>
        <w:tc>
          <w:tcPr>
            <w:tcBorders>
              <w:top w:color="000000" w:space="0" w:sz="8"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45">
            <w:pPr>
              <w:rPr/>
            </w:pPr>
            <w:r w:rsidDel="00000000" w:rsidR="00000000" w:rsidRPr="00000000">
              <w:rPr>
                <w:rtl w:val="0"/>
              </w:rPr>
              <w:t xml:space="preserve">E' stato sviluppato il bilancio idrico della attività di cantiere?</w:t>
            </w:r>
          </w:p>
        </w:tc>
        <w:tc>
          <w:tcPr>
            <w:tcBorders>
              <w:top w:color="000000" w:space="0" w:sz="8"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46">
            <w:pPr>
              <w:rPr/>
            </w:pPr>
            <w:hyperlink r:id="rId16">
              <w:r w:rsidDel="00000000" w:rsidR="00000000" w:rsidRPr="00000000">
                <w:rPr>
                  <w:color w:val="0563c1"/>
                  <w:u w:val="single"/>
                  <w:rtl w:val="0"/>
                </w:rPr>
                <w:t xml:space="preserve">Decreto legislativo 3 aprile 2006, n. 152</w:t>
              </w:r>
            </w:hyperlink>
            <w:r w:rsidDel="00000000" w:rsidR="00000000" w:rsidRPr="00000000">
              <w:rPr>
                <w:rtl w:val="0"/>
              </w:rPr>
            </w:r>
          </w:p>
        </w:tc>
        <w:tc>
          <w:tcPr>
            <w:tcBorders>
              <w:top w:color="000000" w:space="0" w:sz="8"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47">
            <w:pPr>
              <w:rPr/>
            </w:pPr>
            <w:r w:rsidDel="00000000" w:rsidR="00000000" w:rsidRPr="00000000">
              <w:rPr>
                <w:rtl w:val="0"/>
              </w:rPr>
              <w:t xml:space="preserve">Studio/Fascicolo tecnico</w:t>
            </w:r>
          </w:p>
        </w:tc>
        <w:tc>
          <w:tcPr>
            <w:tcBorders>
              <w:top w:color="000000" w:space="0" w:sz="8"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48">
            <w:pPr>
              <w:rPr/>
            </w:pPr>
            <w:r w:rsidDel="00000000" w:rsidR="00000000" w:rsidRPr="00000000">
              <w:rPr>
                <w:rtl w:val="0"/>
              </w:rPr>
            </w:r>
          </w:p>
        </w:tc>
        <w:tc>
          <w:tcPr>
            <w:tcBorders>
              <w:top w:color="000000" w:space="0" w:sz="8"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49">
            <w:pPr>
              <w:rPr/>
            </w:pPr>
            <w:r w:rsidDel="00000000" w:rsidR="00000000" w:rsidRPr="00000000">
              <w:rPr>
                <w:rtl w:val="0"/>
              </w:rPr>
            </w:r>
          </w:p>
        </w:tc>
      </w:tr>
      <w:tr>
        <w:trPr>
          <w:cantSplit w:val="0"/>
          <w:trHeight w:val="431" w:hRule="atLeast"/>
          <w:tblHeader w:val="0"/>
        </w:trPr>
        <w:tc>
          <w:tcPr>
            <w:vMerge w:val="continue"/>
            <w:tcBorders>
              <w:top w:color="000000" w:space="0" w:sz="8" w:val="single"/>
              <w:left w:color="000000" w:space="0" w:sz="8" w:val="single"/>
              <w:bottom w:color="000000" w:space="0" w:sz="8"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4B">
            <w:pPr>
              <w:rPr/>
            </w:pPr>
            <w:r w:rsidDel="00000000" w:rsidR="00000000" w:rsidRPr="00000000">
              <w:rPr>
                <w:rtl w:val="0"/>
              </w:rPr>
              <w:t xml:space="preserve">8</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4C">
            <w:pPr>
              <w:rPr/>
            </w:pPr>
            <w:r w:rsidDel="00000000" w:rsidR="00000000" w:rsidRPr="00000000">
              <w:rPr>
                <w:rtl w:val="0"/>
              </w:rPr>
              <w:t xml:space="preserve">E' stato redatto il piano di gestione rifiuti secondo il quale almeno il 70% (in termini di peso) dei rifiuti da costruzione e demolizione non pericolosi (escluso il materiale allo stato naturale definito alla voce 17 05 04 dell'elenco europeo dei rifiuti istituito dalla decisione 2000/532/CE) prodotti in cantiere è preparato per il riutilizzo, il riciclaggio e altri tipi di recupero di materiale, conformemente alla gerarchia dei rifiuti e al protocollo UE per la gestione dei rifiuti da costruzione e demolizione? Nota bene: Applicabile a pitture e vernici, controsoffittature, rivestimenti per pavimenti, compresi i relativi adesivi e sigillanti, isolamento interno e trattamenti per le superfici interne, come ad esempio per trattare umidità e muffa.</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4D">
            <w:pPr>
              <w:rPr/>
            </w:pPr>
            <w:hyperlink r:id="rId17">
              <w:r w:rsidDel="00000000" w:rsidR="00000000" w:rsidRPr="00000000">
                <w:rPr>
                  <w:color w:val="0563c1"/>
                  <w:u w:val="single"/>
                  <w:rtl w:val="0"/>
                </w:rPr>
                <w:t xml:space="preserve">DM 23 giugno 2022 n. 256 GURI n. 183 del 6 agosto 2022,</w:t>
              </w:r>
            </w:hyperlink>
            <w:r w:rsidDel="00000000" w:rsidR="00000000" w:rsidRPr="00000000">
              <w:rPr>
                <w:rtl w:val="0"/>
              </w:rPr>
              <w:t xml:space="preserve"> specificatamente osservare 2.6.2; Punto 2.6.2; </w:t>
            </w:r>
            <w:hyperlink r:id="rId18">
              <w:r w:rsidDel="00000000" w:rsidR="00000000" w:rsidRPr="00000000">
                <w:rPr>
                  <w:color w:val="0563c1"/>
                  <w:u w:val="single"/>
                  <w:rtl w:val="0"/>
                </w:rPr>
                <w:t xml:space="preserve">Orientamenti per le verifiche dei rifiuti prima dei lavori di demolizione e di ristrutturazione degli edifici</w:t>
              </w:r>
            </w:hyperlink>
            <w:r w:rsidDel="00000000" w:rsidR="00000000" w:rsidRPr="00000000">
              <w:rPr>
                <w:rtl w:val="0"/>
              </w:rPr>
              <w:t xml:space="preserve">; </w:t>
            </w:r>
            <w:hyperlink r:id="rId19">
              <w:r w:rsidDel="00000000" w:rsidR="00000000" w:rsidRPr="00000000">
                <w:rPr>
                  <w:color w:val="0563c1"/>
                  <w:u w:val="single"/>
                  <w:rtl w:val="0"/>
                </w:rPr>
                <w:t xml:space="preserve">Criteri e indirizzi tecnici condivisi per il recupero dei materiali inerti</w:t>
              </w:r>
            </w:hyperlink>
            <w:r w:rsidDel="00000000" w:rsidR="00000000" w:rsidRPr="00000000">
              <w:rPr>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4E">
            <w:pPr>
              <w:rPr/>
            </w:pPr>
            <w:r w:rsidDel="00000000" w:rsidR="00000000" w:rsidRPr="00000000">
              <w:rPr>
                <w:rtl w:val="0"/>
              </w:rPr>
              <w:t xml:space="preserve">Piano Gestione rifiuti; UNI /PdR 75:2020</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4F">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50">
            <w:pPr>
              <w:rPr/>
            </w:pPr>
            <w:r w:rsidDel="00000000" w:rsidR="00000000" w:rsidRPr="00000000">
              <w:rPr>
                <w:rtl w:val="0"/>
              </w:rPr>
            </w:r>
          </w:p>
        </w:tc>
      </w:tr>
      <w:tr>
        <w:trPr>
          <w:cantSplit w:val="0"/>
          <w:trHeight w:val="601" w:hRule="atLeast"/>
          <w:tblHeader w:val="0"/>
        </w:trPr>
        <w:tc>
          <w:tcPr>
            <w:vMerge w:val="continue"/>
            <w:tcBorders>
              <w:top w:color="000000" w:space="0" w:sz="8" w:val="single"/>
              <w:left w:color="000000" w:space="0" w:sz="8" w:val="single"/>
              <w:bottom w:color="000000" w:space="0" w:sz="8"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8"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52">
            <w:pPr>
              <w:rPr/>
            </w:pPr>
            <w:r w:rsidDel="00000000" w:rsidR="00000000" w:rsidRPr="00000000">
              <w:rPr>
                <w:rtl w:val="0"/>
              </w:rPr>
              <w:t xml:space="preserve">9</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53">
            <w:pPr>
              <w:rPr/>
            </w:pPr>
            <w:r w:rsidDel="00000000" w:rsidR="00000000" w:rsidRPr="00000000">
              <w:rPr>
                <w:rtl w:val="0"/>
              </w:rPr>
              <w:t xml:space="preserve">E' stato sviluppato il bilancio materie?</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54">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55">
            <w:pPr>
              <w:rPr/>
            </w:pPr>
            <w:r w:rsidDel="00000000" w:rsidR="00000000" w:rsidRPr="00000000">
              <w:rPr>
                <w:rtl w:val="0"/>
              </w:rPr>
              <w:t xml:space="preserve">Studio/Fascicolo tecnico</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56">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57">
            <w:pPr>
              <w:rPr/>
            </w:pPr>
            <w:r w:rsidDel="00000000" w:rsidR="00000000" w:rsidRPr="00000000">
              <w:rPr>
                <w:rtl w:val="0"/>
              </w:rPr>
            </w:r>
          </w:p>
        </w:tc>
      </w:tr>
      <w:tr>
        <w:trPr>
          <w:cantSplit w:val="0"/>
          <w:trHeight w:val="778" w:hRule="atLeast"/>
          <w:tblHeader w:val="0"/>
        </w:trPr>
        <w:tc>
          <w:tcPr>
            <w:vMerge w:val="continue"/>
            <w:tcBorders>
              <w:top w:color="000000" w:space="0" w:sz="8" w:val="single"/>
              <w:left w:color="000000" w:space="0" w:sz="8" w:val="single"/>
              <w:bottom w:color="000000" w:space="0" w:sz="8"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8"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59">
            <w:pPr>
              <w:rPr/>
            </w:pPr>
            <w:r w:rsidDel="00000000" w:rsidR="00000000" w:rsidRPr="00000000">
              <w:rPr>
                <w:rtl w:val="0"/>
              </w:rPr>
              <w:t xml:space="preserve">10</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5A">
            <w:pPr>
              <w:rPr/>
            </w:pPr>
            <w:r w:rsidDel="00000000" w:rsidR="00000000" w:rsidRPr="00000000">
              <w:rPr>
                <w:rtl w:val="0"/>
              </w:rPr>
              <w:t xml:space="preserve">Sono state indicate le limitazioni delle caratteristiche di pericolo dei materiali che si prevede utilizzare (Art. 57, Regolamento CE 1907/2006, REACH)?</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5B">
            <w:pPr>
              <w:rPr/>
            </w:pPr>
            <w:hyperlink r:id="rId20">
              <w:r w:rsidDel="00000000" w:rsidR="00000000" w:rsidRPr="00000000">
                <w:rPr>
                  <w:color w:val="0563c1"/>
                  <w:u w:val="single"/>
                  <w:rtl w:val="0"/>
                </w:rPr>
                <w:t xml:space="preserve">REGOLAMENTO (CE) N. 1907/2006 DEL PARLAMENTO EUROPEO E DEL CONSIGLIO del 18 dicembre 2006 (REACH)</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5C">
            <w:pPr>
              <w:rPr/>
            </w:pPr>
            <w:r w:rsidDel="00000000" w:rsidR="00000000" w:rsidRPr="00000000">
              <w:rPr>
                <w:rtl w:val="0"/>
              </w:rPr>
              <w:t xml:space="preserve">Indicare le limitazioni delle caratteristiche di pericolo dei materiali che si prevede di utilizzare in cantiere (Art. 57, Regolamento CE 1907/2006, REACH) così come le prove di verifica definite all’interno dei CAM edilizi</w:t>
              <w:br w:type="textWrapping"/>
              <w:t xml:space="preserve">alla parte relativa alle sostanze pericolose.</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5D">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5E">
            <w:pPr>
              <w:rPr/>
            </w:pPr>
            <w:r w:rsidDel="00000000" w:rsidR="00000000" w:rsidRPr="00000000">
              <w:rPr>
                <w:rtl w:val="0"/>
              </w:rPr>
            </w:r>
          </w:p>
        </w:tc>
      </w:tr>
      <w:tr>
        <w:trPr>
          <w:cantSplit w:val="0"/>
          <w:trHeight w:val="53" w:hRule="atLeast"/>
          <w:tblHeader w:val="0"/>
        </w:trPr>
        <w:tc>
          <w:tcPr>
            <w:vMerge w:val="continue"/>
            <w:tcBorders>
              <w:top w:color="000000" w:space="0" w:sz="8" w:val="single"/>
              <w:left w:color="000000" w:space="0" w:sz="8" w:val="single"/>
              <w:bottom w:color="000000" w:space="0" w:sz="8"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8"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60">
            <w:pPr>
              <w:rPr/>
            </w:pPr>
            <w:r w:rsidDel="00000000" w:rsidR="00000000" w:rsidRPr="00000000">
              <w:rPr>
                <w:rtl w:val="0"/>
              </w:rPr>
              <w:t xml:space="preserve">11</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61">
            <w:pPr>
              <w:rPr/>
            </w:pPr>
            <w:r w:rsidDel="00000000" w:rsidR="00000000" w:rsidRPr="00000000">
              <w:rPr>
                <w:rtl w:val="0"/>
              </w:rPr>
              <w:t xml:space="preserve">E' stato redatto il PAC, ove previsto dalle normative regionali o nazionali?</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62">
            <w:pPr>
              <w:rPr/>
            </w:pPr>
            <w:hyperlink r:id="rId21">
              <w:r w:rsidDel="00000000" w:rsidR="00000000" w:rsidRPr="00000000">
                <w:rPr>
                  <w:color w:val="0563c1"/>
                  <w:u w:val="single"/>
                  <w:rtl w:val="0"/>
                </w:rPr>
                <w:t xml:space="preserve">LINEE GUIDA PER LA GESTIONE DEI CANTIERI AI FINI DELLA PROTEZIONE AMBIENTALE</w:t>
              </w:r>
            </w:hyperlink>
            <w:r w:rsidDel="00000000" w:rsidR="00000000" w:rsidRPr="00000000">
              <w:rPr>
                <w:rtl w:val="0"/>
              </w:rPr>
              <w:t xml:space="preserve"> ; “Authorization List” del </w:t>
            </w:r>
            <w:hyperlink r:id="rId22">
              <w:r w:rsidDel="00000000" w:rsidR="00000000" w:rsidRPr="00000000">
                <w:rPr>
                  <w:color w:val="0563c1"/>
                  <w:u w:val="single"/>
                  <w:rtl w:val="0"/>
                </w:rPr>
                <w:t xml:space="preserve">REGOLAMENTO (CE) N. 1907/2006 DEL PARLAMENTO EUROPEO E DEL CONSIGLIO del 18 dicembre 2006 (REACH)</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63">
            <w:pPr>
              <w:rPr/>
            </w:pPr>
            <w:r w:rsidDel="00000000" w:rsidR="00000000" w:rsidRPr="00000000">
              <w:rPr>
                <w:rtl w:val="0"/>
              </w:rPr>
              <w:t xml:space="preserve">Redazione del PAC che dovrà assicurare anche il contenimento delle polveri tramite bagnatura delle aree di cantiere e un piano di zonizzazione acustica indicando la necessità di presentazione della deroga al rumore; autodichiarazione del possesso delle schede tecniche dei materiali e sostanze impiegate in conformità al regolamento REACH</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64">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65">
            <w:pPr>
              <w:rPr/>
            </w:pPr>
            <w:r w:rsidDel="00000000" w:rsidR="00000000" w:rsidRPr="00000000">
              <w:rPr>
                <w:rtl w:val="0"/>
              </w:rPr>
            </w:r>
          </w:p>
        </w:tc>
      </w:tr>
      <w:tr>
        <w:trPr>
          <w:cantSplit w:val="0"/>
          <w:trHeight w:val="53" w:hRule="atLeast"/>
          <w:tblHeader w:val="0"/>
        </w:trPr>
        <w:tc>
          <w:tcPr>
            <w:vMerge w:val="continue"/>
            <w:tcBorders>
              <w:top w:color="000000" w:space="0" w:sz="8" w:val="single"/>
              <w:left w:color="000000" w:space="0" w:sz="8" w:val="single"/>
              <w:bottom w:color="000000" w:space="0" w:sz="8"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8"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67">
            <w:pPr>
              <w:rPr/>
            </w:pPr>
            <w:r w:rsidDel="00000000" w:rsidR="00000000" w:rsidRPr="00000000">
              <w:rPr>
                <w:rtl w:val="0"/>
              </w:rPr>
              <w:t xml:space="preserve">12</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68">
            <w:pPr>
              <w:rPr/>
            </w:pPr>
            <w:r w:rsidDel="00000000" w:rsidR="00000000" w:rsidRPr="00000000">
              <w:rPr>
                <w:rtl w:val="0"/>
              </w:rPr>
              <w:t xml:space="preserve">Sussistono i requisiti per caratterizzazione del sito ed è stata eventualmente pianificata o realizzata la stessa?****</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69">
            <w:pPr>
              <w:rPr/>
            </w:pPr>
            <w:hyperlink r:id="rId23">
              <w:r w:rsidDel="00000000" w:rsidR="00000000" w:rsidRPr="00000000">
                <w:rPr>
                  <w:color w:val="0563c1"/>
                  <w:u w:val="single"/>
                  <w:rtl w:val="0"/>
                </w:rPr>
                <w:t xml:space="preserve">Decreto legislativo 3 aprile 2006, n. 152</w:t>
              </w:r>
            </w:hyperlink>
            <w:r w:rsidDel="00000000" w:rsidR="00000000" w:rsidRPr="00000000">
              <w:rPr>
                <w:rtl w:val="0"/>
              </w:rPr>
              <w:t xml:space="preserve"> ( Norme in materia ambientale)</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6A">
            <w:pPr>
              <w:rPr/>
            </w:pPr>
            <w:r w:rsidDel="00000000" w:rsidR="00000000" w:rsidRPr="00000000">
              <w:rPr>
                <w:rtl w:val="0"/>
              </w:rPr>
              <w:t xml:space="preserve">Studio/Fascicolo tecnico</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6B">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6C">
            <w:pPr>
              <w:rPr/>
            </w:pPr>
            <w:r w:rsidDel="00000000" w:rsidR="00000000" w:rsidRPr="00000000">
              <w:rPr>
                <w:rtl w:val="0"/>
              </w:rPr>
            </w:r>
          </w:p>
        </w:tc>
      </w:tr>
      <w:tr>
        <w:trPr>
          <w:cantSplit w:val="0"/>
          <w:trHeight w:val="53" w:hRule="atLeast"/>
          <w:tblHeader w:val="0"/>
        </w:trPr>
        <w:tc>
          <w:tcPr>
            <w:vMerge w:val="continue"/>
            <w:tcBorders>
              <w:top w:color="000000" w:space="0" w:sz="8" w:val="single"/>
              <w:left w:color="000000" w:space="0" w:sz="8" w:val="single"/>
              <w:bottom w:color="000000" w:space="0" w:sz="8"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8"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6E">
            <w:pPr>
              <w:rPr/>
            </w:pPr>
            <w:r w:rsidDel="00000000" w:rsidR="00000000" w:rsidRPr="00000000">
              <w:rPr>
                <w:rtl w:val="0"/>
              </w:rPr>
              <w:t xml:space="preserve">13</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6F">
            <w:pPr>
              <w:rPr/>
            </w:pPr>
            <w:r w:rsidDel="00000000" w:rsidR="00000000" w:rsidRPr="00000000">
              <w:rPr>
                <w:rtl w:val="0"/>
              </w:rPr>
              <w:t xml:space="preserve">E' confermato che la localizzazione dell’opera non sia all’interno delle aree sotto indicate? Siti Natura 2000, Terreni coltivati e seminativi con un livello da moderato ad elevato di fertilità del suolo e biodiversità sotterranea, destinabili alla produzione di alimenti o mangimi, come indicato nell'indagine LUCAS dell'UE e nella Direttiva (UE) 2015/1513 (ILUC) del Parlamento europeo e del Consiglio oppure terreni che corrispondono alla definizione di foresta, laddove per foresta si intende un terreno che corrisponde alla definizione di bosco di cui all’art. 3, comma 3 e 4, e art. 4 del D. lgs 34 del 2018, per le quali le valutazioni previste dall’art. 8 del medesimo decreto non siano concluse con parere favorevole alla trasformazione permanente dello stato dei luoghi oppure</w:t>
              <w:br w:type="textWrapping"/>
              <w:t xml:space="preserve">terreni che costituiscono l'habitat di specie (flora e fauna) in pericolo elencate nella lista rossa europea ( </w:t>
            </w:r>
            <w:hyperlink r:id="rId24">
              <w:r w:rsidDel="00000000" w:rsidR="00000000" w:rsidRPr="00000000">
                <w:rPr>
                  <w:color w:val="0563c1"/>
                  <w:u w:val="single"/>
                  <w:rtl w:val="0"/>
                </w:rPr>
                <w:t xml:space="preserve">https://www.iucn.org/regions/europe/our-work/biodiversity-conservation/european-red-list-threatened-species</w:t>
              </w:r>
            </w:hyperlink>
            <w:r w:rsidDel="00000000" w:rsidR="00000000" w:rsidRPr="00000000">
              <w:rPr>
                <w:rtl w:val="0"/>
              </w:rPr>
              <w:t xml:space="preserve"> ) o nella lista rossa dell'IUCN (</w:t>
            </w:r>
            <w:hyperlink r:id="rId25">
              <w:r w:rsidDel="00000000" w:rsidR="00000000" w:rsidRPr="00000000">
                <w:rPr>
                  <w:color w:val="0563c1"/>
                  <w:u w:val="single"/>
                  <w:rtl w:val="0"/>
                </w:rPr>
                <w:t xml:space="preserve">https://www.iucnredlist.org</w:t>
              </w:r>
            </w:hyperlink>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70">
            <w:pPr>
              <w:rPr/>
            </w:pPr>
            <w:hyperlink r:id="rId26">
              <w:r w:rsidDel="00000000" w:rsidR="00000000" w:rsidRPr="00000000">
                <w:rPr>
                  <w:color w:val="0563c1"/>
                  <w:u w:val="single"/>
                  <w:rtl w:val="0"/>
                </w:rPr>
                <w:t xml:space="preserve">DIRETTIVA (UE) 2015/1513 </w:t>
              </w:r>
            </w:hyperlink>
            <w:r w:rsidDel="00000000" w:rsidR="00000000" w:rsidRPr="00000000">
              <w:rPr>
                <w:rtl w:val="0"/>
              </w:rPr>
              <w:t xml:space="preserve">RELAZIONE DELLA COMMISSIONE AL CONSIGLIO E AL PARLAMENTO EUROPEO sull'attuazione della decisione n. 1445/2000/CE</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71">
            <w:pPr>
              <w:rPr/>
            </w:pPr>
            <w:r w:rsidDel="00000000" w:rsidR="00000000" w:rsidRPr="00000000">
              <w:rPr>
                <w:rtl w:val="0"/>
              </w:rPr>
              <w:t xml:space="preserve">L'autodichiarzione che riporti che la costruzione non è situata in aree sensibili o in prossimità di esse.</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72">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73">
            <w:pPr>
              <w:rPr/>
            </w:pPr>
            <w:r w:rsidDel="00000000" w:rsidR="00000000" w:rsidRPr="00000000">
              <w:rPr>
                <w:rtl w:val="0"/>
              </w:rPr>
            </w:r>
          </w:p>
        </w:tc>
      </w:tr>
      <w:tr>
        <w:trPr>
          <w:cantSplit w:val="0"/>
          <w:trHeight w:val="53" w:hRule="atLeast"/>
          <w:tblHeader w:val="0"/>
        </w:trPr>
        <w:tc>
          <w:tcPr>
            <w:vMerge w:val="continue"/>
            <w:tcBorders>
              <w:top w:color="000000" w:space="0" w:sz="8" w:val="single"/>
              <w:left w:color="000000" w:space="0" w:sz="8" w:val="single"/>
              <w:bottom w:color="000000" w:space="0" w:sz="8"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8"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75">
            <w:pPr>
              <w:rPr/>
            </w:pPr>
            <w:r w:rsidDel="00000000" w:rsidR="00000000" w:rsidRPr="00000000">
              <w:rPr>
                <w:rtl w:val="0"/>
              </w:rPr>
              <w:t xml:space="preserve">14</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76">
            <w:pPr>
              <w:rPr/>
            </w:pPr>
            <w:r w:rsidDel="00000000" w:rsidR="00000000" w:rsidRPr="00000000">
              <w:rPr>
                <w:rtl w:val="0"/>
              </w:rPr>
              <w:t xml:space="preserve">Per gli interventi situati in aree sensibili sotto il profilo della biodiversità o in prossimità di esse, fermo restando le aree di divieto, è stata verificata la sussistenza di sensibilità territoriali, in particolare tramite una verifica preliminare, mediante censimento floro-faunistico, dell’assenza di habitat di specie (flora e fauna) in pericolo elencate nella lista rossa europea o nella lista rossa dell'IUCN?</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77">
            <w:pPr>
              <w:rPr/>
            </w:pPr>
            <w:hyperlink r:id="rId27">
              <w:r w:rsidDel="00000000" w:rsidR="00000000" w:rsidRPr="00000000">
                <w:rPr>
                  <w:color w:val="0563c1"/>
                  <w:u w:val="single"/>
                  <w:rtl w:val="0"/>
                </w:rPr>
                <w:t xml:space="preserve">DIRETTIVA 2009/147/CE</w:t>
              </w:r>
            </w:hyperlink>
            <w:r w:rsidDel="00000000" w:rsidR="00000000" w:rsidRPr="00000000">
              <w:rPr>
                <w:rtl w:val="0"/>
              </w:rPr>
              <w:t xml:space="preserve"> (Direttiva Uccelli)</w:t>
              <w:br w:type="textWrapping"/>
              <w:br w:type="textWrapping"/>
            </w:r>
            <w:hyperlink r:id="rId28">
              <w:r w:rsidDel="00000000" w:rsidR="00000000" w:rsidRPr="00000000">
                <w:rPr>
                  <w:color w:val="0563c1"/>
                  <w:u w:val="single"/>
                  <w:rtl w:val="0"/>
                </w:rPr>
                <w:t xml:space="preserve">DIRETTIVA 92/43/CEE</w:t>
              </w:r>
            </w:hyperlink>
            <w:r w:rsidDel="00000000" w:rsidR="00000000" w:rsidRPr="00000000">
              <w:rPr>
                <w:rtl w:val="0"/>
              </w:rPr>
              <w:t xml:space="preserve"> (HABITAT)</w:t>
              <w:br w:type="textWrapping"/>
              <w:br w:type="textWrapping"/>
            </w:r>
            <w:hyperlink r:id="rId29">
              <w:r w:rsidDel="00000000" w:rsidR="00000000" w:rsidRPr="00000000">
                <w:rPr>
                  <w:color w:val="0563c1"/>
                  <w:u w:val="single"/>
                  <w:rtl w:val="0"/>
                </w:rPr>
                <w:t xml:space="preserve">LINEE GUIDA NAZIONALI</w:t>
                <w:br w:type="textWrapping"/>
                <w:t xml:space="preserve">PER LA VALUTAZIONE DI INCIDENZA (VIncA)</w:t>
              </w:r>
            </w:hyperlink>
            <w:r w:rsidDel="00000000" w:rsidR="00000000" w:rsidRPr="00000000">
              <w:rPr>
                <w:rtl w:val="0"/>
              </w:rPr>
              <w:t xml:space="preserve">- Direttiva Habitat 92/43/CEE</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78">
            <w:pPr>
              <w:rPr/>
            </w:pPr>
            <w:r w:rsidDel="00000000" w:rsidR="00000000" w:rsidRPr="00000000">
              <w:rPr>
                <w:rtl w:val="0"/>
              </w:rPr>
              <w:t xml:space="preserve">Censimento floro-faunistico svolto da un naturalista e botanico o, in subordine, l'autodichiarzione che riporti che la costruzione non è situata in aree sensibili o in prossimità di esse.</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79">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7A">
            <w:pPr>
              <w:rPr/>
            </w:pPr>
            <w:r w:rsidDel="00000000" w:rsidR="00000000" w:rsidRPr="00000000">
              <w:rPr>
                <w:rtl w:val="0"/>
              </w:rPr>
            </w:r>
          </w:p>
        </w:tc>
      </w:tr>
      <w:tr>
        <w:trPr>
          <w:cantSplit w:val="0"/>
          <w:trHeight w:val="53" w:hRule="atLeast"/>
          <w:tblHeader w:val="0"/>
        </w:trPr>
        <w:tc>
          <w:tcPr>
            <w:vMerge w:val="continue"/>
            <w:tcBorders>
              <w:top w:color="000000" w:space="0" w:sz="8" w:val="single"/>
              <w:left w:color="000000" w:space="0" w:sz="8" w:val="single"/>
              <w:bottom w:color="000000" w:space="0" w:sz="8"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8"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7C">
            <w:pPr>
              <w:rPr/>
            </w:pPr>
            <w:r w:rsidDel="00000000" w:rsidR="00000000" w:rsidRPr="00000000">
              <w:rPr>
                <w:rtl w:val="0"/>
              </w:rPr>
              <w:t xml:space="preserve">15</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7D">
            <w:pPr>
              <w:rPr/>
            </w:pPr>
            <w:r w:rsidDel="00000000" w:rsidR="00000000" w:rsidRPr="00000000">
              <w:rPr>
                <w:rtl w:val="0"/>
              </w:rPr>
              <w:t xml:space="preserve">Per aree naturali protette (quali ad esempio parchi nazionali, parchi interregionali, aree marine protette etc.…) , è stato rilasciato il nulla osta degli enti competenti?</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7E">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7F">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80">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81">
            <w:pPr>
              <w:rPr/>
            </w:pPr>
            <w:r w:rsidDel="00000000" w:rsidR="00000000" w:rsidRPr="00000000">
              <w:rPr>
                <w:rtl w:val="0"/>
              </w:rPr>
            </w:r>
          </w:p>
        </w:tc>
      </w:tr>
      <w:tr>
        <w:trPr>
          <w:cantSplit w:val="0"/>
          <w:trHeight w:val="53" w:hRule="atLeast"/>
          <w:tblHeader w:val="0"/>
        </w:trPr>
        <w:tc>
          <w:tcPr>
            <w:vMerge w:val="continue"/>
            <w:tcBorders>
              <w:top w:color="000000" w:space="0" w:sz="8" w:val="single"/>
              <w:left w:color="000000" w:space="0" w:sz="8" w:val="single"/>
              <w:bottom w:color="000000" w:space="0" w:sz="8"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6" w:val="single"/>
              <w:left w:color="000000" w:space="0" w:sz="8"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83">
            <w:pPr>
              <w:rPr/>
            </w:pPr>
            <w:r w:rsidDel="00000000" w:rsidR="00000000" w:rsidRPr="00000000">
              <w:rPr>
                <w:rtl w:val="0"/>
              </w:rPr>
              <w:t xml:space="preserve">16</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84">
            <w:pPr>
              <w:rPr/>
            </w:pPr>
            <w:r w:rsidDel="00000000" w:rsidR="00000000" w:rsidRPr="00000000">
              <w:rPr>
                <w:rtl w:val="0"/>
              </w:rPr>
              <w:t xml:space="preserve">Laddove sia ipotizzabile un’incidenza diretta o indiretta sui siti della Rete Natura 2000 l’intervento è stato sottoposto a Valutazione di Incidenza (DPR 357/97)?</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85">
            <w:pPr>
              <w:rPr/>
            </w:pPr>
            <w:hyperlink r:id="rId30">
              <w:r w:rsidDel="00000000" w:rsidR="00000000" w:rsidRPr="00000000">
                <w:rPr>
                  <w:color w:val="0563c1"/>
                  <w:u w:val="single"/>
                  <w:rtl w:val="0"/>
                </w:rPr>
                <w:t xml:space="preserve">LINEE GUIDA NAZIONALI</w:t>
                <w:br w:type="textWrapping"/>
                <w:t xml:space="preserve">PER LA VALUTAZIONE DI INCIDENZA (VIncA)</w:t>
              </w:r>
            </w:hyperlink>
            <w:r w:rsidDel="00000000" w:rsidR="00000000" w:rsidRPr="00000000">
              <w:rPr>
                <w:rtl w:val="0"/>
              </w:rPr>
              <w:t xml:space="preserve">- Direttiva Habitat 92/43/CEE</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86">
            <w:pPr>
              <w:rPr/>
            </w:pPr>
            <w:r w:rsidDel="00000000" w:rsidR="00000000" w:rsidRPr="00000000">
              <w:rPr>
                <w:rtl w:val="0"/>
              </w:rPr>
              <w:t xml:space="preserve">Fascicolo tecnico VIncA</w:t>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87">
            <w:pPr>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22.0" w:type="dxa"/>
              <w:left w:w="32.0" w:type="dxa"/>
              <w:bottom w:w="22.0" w:type="dxa"/>
              <w:right w:w="32.0" w:type="dxa"/>
            </w:tcMar>
          </w:tcPr>
          <w:p w:rsidR="00000000" w:rsidDel="00000000" w:rsidP="00000000" w:rsidRDefault="00000000" w:rsidRPr="00000000" w14:paraId="00000088">
            <w:pPr>
              <w:rPr/>
            </w:pPr>
            <w:r w:rsidDel="00000000" w:rsidR="00000000" w:rsidRPr="00000000">
              <w:rPr>
                <w:rtl w:val="0"/>
              </w:rPr>
            </w:r>
          </w:p>
        </w:tc>
      </w:tr>
    </w:tbl>
    <w:p w:rsidR="00000000" w:rsidDel="00000000" w:rsidP="00000000" w:rsidRDefault="00000000" w:rsidRPr="00000000" w14:paraId="00000089">
      <w:pPr>
        <w:rPr>
          <w:rFonts w:ascii="Titillium Web" w:cs="Titillium Web" w:eastAsia="Titillium Web" w:hAnsi="Titillium Web"/>
        </w:rPr>
      </w:pPr>
      <w:r w:rsidDel="00000000" w:rsidR="00000000" w:rsidRPr="00000000">
        <w:rPr>
          <w:rFonts w:ascii="Titillium Web" w:cs="Titillium Web" w:eastAsia="Titillium Web" w:hAnsi="Titillium Web"/>
          <w:sz w:val="20"/>
          <w:szCs w:val="20"/>
          <w:rtl w:val="0"/>
        </w:rPr>
        <w:t xml:space="preserve">***: L'autorizzazione è rilasciata al titolare dell'attività da cui origina lo scarico. Ove uno o più stabilimenti conferiscano, tramite condotta, ad un terzo soggetto, titolare dello scarico finale, le acque reflue provenienti dalle loro attività, oppure qualora tra più stabilimenti sia costituito un consorzio per l'effettuazione in comune dello scarico delle acque reflue provenienti dalle attività dei consorziati, l'autorizzazione è rilasciata in capo al titolare dello scarico finale o al consorzio medesimo.</w:t>
      </w:r>
      <w:r w:rsidDel="00000000" w:rsidR="00000000" w:rsidRPr="00000000">
        <w:rPr>
          <w:rtl w:val="0"/>
        </w:rPr>
      </w:r>
    </w:p>
    <w:p w:rsidR="00000000" w:rsidDel="00000000" w:rsidP="00000000" w:rsidRDefault="00000000" w:rsidRPr="00000000" w14:paraId="0000008A">
      <w:pPr>
        <w:rPr>
          <w:sz w:val="20"/>
          <w:szCs w:val="20"/>
        </w:rPr>
      </w:pPr>
      <w:r w:rsidDel="00000000" w:rsidR="00000000" w:rsidRPr="00000000">
        <w:rPr>
          <w:rtl w:val="0"/>
        </w:rPr>
      </w:r>
    </w:p>
    <w:p w:rsidR="00000000" w:rsidDel="00000000" w:rsidP="00000000" w:rsidRDefault="00000000" w:rsidRPr="00000000" w14:paraId="0000008B">
      <w:pPr>
        <w:rPr>
          <w:sz w:val="20"/>
          <w:szCs w:val="20"/>
        </w:rPr>
      </w:pPr>
      <w:r w:rsidDel="00000000" w:rsidR="00000000" w:rsidRPr="00000000">
        <w:rPr>
          <w:sz w:val="20"/>
          <w:szCs w:val="20"/>
          <w:rtl w:val="0"/>
        </w:rPr>
        <w:t xml:space="preserve">****:eventuali attività preliminari di caratterizzazione dei terreni e delle acque di falda, ove presenti, per nuove costruzioni realizzate all’interno di aree di estensione superiore a 1000 m2.</w:t>
      </w:r>
    </w:p>
    <w:p w:rsidR="00000000" w:rsidDel="00000000" w:rsidP="00000000" w:rsidRDefault="00000000" w:rsidRPr="00000000" w14:paraId="0000008C">
      <w:pPr>
        <w:rPr/>
      </w:pPr>
      <w:r w:rsidDel="00000000" w:rsidR="00000000" w:rsidRPr="00000000">
        <w:rPr>
          <w:rtl w:val="0"/>
        </w:rPr>
      </w:r>
    </w:p>
    <w:sectPr>
      <w:pgSz w:h="11906" w:w="16838" w:orient="landscape"/>
      <w:pgMar w:bottom="1134" w:top="1134" w:left="1134"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tillium Web">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Collegamentoipertestuale">
    <w:name w:val="Hyperlink"/>
    <w:basedOn w:val="Carpredefinitoparagrafo"/>
    <w:uiPriority w:val="99"/>
    <w:unhideWhenUsed w:val="1"/>
    <w:rsid w:val="008C75AA"/>
    <w:rPr>
      <w:color w:val="0563c1" w:themeColor="hyperlink"/>
      <w:u w:val="single"/>
    </w:rPr>
  </w:style>
  <w:style w:type="character" w:styleId="Menzionenonrisolta">
    <w:name w:val="Unresolved Mention"/>
    <w:basedOn w:val="Carpredefinitoparagrafo"/>
    <w:uiPriority w:val="99"/>
    <w:semiHidden w:val="1"/>
    <w:unhideWhenUsed w:val="1"/>
    <w:rsid w:val="008C75A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eur-lex.europa.eu/legal-content/IT/TXT/PDF/?uri=CELEX:32006R1907R(01)" TargetMode="External"/><Relationship Id="rId22" Type="http://schemas.openxmlformats.org/officeDocument/2006/relationships/hyperlink" Target="https://eur-lex.europa.eu/legal-content/IT/TXT/PDF/?uri=CELEX:32006R1907R(01)" TargetMode="External"/><Relationship Id="rId21" Type="http://schemas.openxmlformats.org/officeDocument/2006/relationships/hyperlink" Target="https://www.certifico.com/component/attachments/download/7813" TargetMode="External"/><Relationship Id="rId24" Type="http://schemas.openxmlformats.org/officeDocument/2006/relationships/hyperlink" Target="https://www.iucn.org/regions/europe/our-work/biodiversity-conservation/european-red-list-threatened-species" TargetMode="External"/><Relationship Id="rId23" Type="http://schemas.openxmlformats.org/officeDocument/2006/relationships/hyperlink" Target="https://www.gazzettaufficiale.it/dettaglio/codici/materiaAmbiental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avoro.gov.it/documenti-e-norme/studi-e-statistiche/Documents/Testo%20Unico%20sulla%20Salute%20e%20Sicurezza%20sul%20Lavoro/Testo-Unico-81-08-Edizione-Giugno%202016.pdf" TargetMode="External"/><Relationship Id="rId26" Type="http://schemas.openxmlformats.org/officeDocument/2006/relationships/hyperlink" Target="https://eur-lex.europa.eu/legal-content/IT/TXT/PDF/?uri=CELEX:32015L1513&amp;from=NL" TargetMode="External"/><Relationship Id="rId25" Type="http://schemas.openxmlformats.org/officeDocument/2006/relationships/hyperlink" Target="https://www.iucnredlist.org/" TargetMode="External"/><Relationship Id="rId28" Type="http://schemas.openxmlformats.org/officeDocument/2006/relationships/hyperlink" Target="https://eur-lex.europa.eu/LexUriServ/LexUriServ.do?uri=CONSLEG:1992L0043:20070101:IT:PDF" TargetMode="External"/><Relationship Id="rId27" Type="http://schemas.openxmlformats.org/officeDocument/2006/relationships/hyperlink" Target="https://eur-lex.europa.eu/legal-content/IT/TXT/PDF/?uri=CELEX:32009L0147&amp;from=EN"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gazzettaufficiale.it/do/atto/serie_generale/caricaPdf?cdimg=19A0796800100010110001&amp;dgu=2019-12-28&amp;art.dataPubblicazioneGazzetta=2019-12-28&amp;art.codiceRedazionale=19A07968&amp;art.num=1&amp;art.tiposerie=SG" TargetMode="External"/><Relationship Id="rId7" Type="http://schemas.openxmlformats.org/officeDocument/2006/relationships/hyperlink" Target="https://www.arpat.toscana.it/documentazione/catalogo-pubblicazioni-arpat/linee-guida-per-la-gestione-dei-cantieri-ai-fini-della-protezione-ambientale" TargetMode="External"/><Relationship Id="rId8" Type="http://schemas.openxmlformats.org/officeDocument/2006/relationships/hyperlink" Target="https://eur-lex.europa.eu/legal-content/IT/TXT/PDF/?uri=CELEX:32009L0028&amp;from=SK" TargetMode="External"/><Relationship Id="rId30" Type="http://schemas.openxmlformats.org/officeDocument/2006/relationships/hyperlink" Target="https://www.gazzettaufficiale.it/do/atto/serie_generale/caricaPdf?cdimg=19A0796800100010110001&amp;dgu=2019-12-28&amp;art.dataPubblicazioneGazzetta=2019-12-28&amp;art.codiceRedazionale=19A07968&amp;art.num=1&amp;art.tiposerie=SG" TargetMode="External"/><Relationship Id="rId11" Type="http://schemas.openxmlformats.org/officeDocument/2006/relationships/hyperlink" Target="https://www.bosettiegatti.eu/info/norme/statali/2006_0152.htm" TargetMode="External"/><Relationship Id="rId10" Type="http://schemas.openxmlformats.org/officeDocument/2006/relationships/hyperlink" Target="https://olympus.uniurb.it/index.php?option=com_content&amp;view=article&amp;id=3854:titolo-iv&amp;catid=73&amp;Itemid=137" TargetMode="External"/><Relationship Id="rId13" Type="http://schemas.openxmlformats.org/officeDocument/2006/relationships/hyperlink" Target="https://www.gazzettaufficiale.it/dettaglio/codici/materiaAmbientale" TargetMode="External"/><Relationship Id="rId12" Type="http://schemas.openxmlformats.org/officeDocument/2006/relationships/hyperlink" Target="https://www.gazzettaufficiale.it/dettaglio/codici/materiaAmbientale" TargetMode="External"/><Relationship Id="rId15" Type="http://schemas.openxmlformats.org/officeDocument/2006/relationships/hyperlink" Target="https://www.gazzettaufficiale.it/eli/id/2006/05/02/006G0184/sg" TargetMode="External"/><Relationship Id="rId14" Type="http://schemas.openxmlformats.org/officeDocument/2006/relationships/hyperlink" Target="https://www.gazzettaufficiale.it/dettaglio/codici/materiaAmbientale" TargetMode="External"/><Relationship Id="rId17" Type="http://schemas.openxmlformats.org/officeDocument/2006/relationships/hyperlink" Target="https://www.ancecatania.it/2022/09/01/cam-edilizia-decreto-mite-n-256-del-23-giugno-2022_nuovi-criteri-in-vigore-dal-4-dicembre-2022/" TargetMode="External"/><Relationship Id="rId16" Type="http://schemas.openxmlformats.org/officeDocument/2006/relationships/hyperlink" Target="https://www.gazzettaufficiale.it/dettaglio/codici/materiaAmbientale" TargetMode="External"/><Relationship Id="rId19" Type="http://schemas.openxmlformats.org/officeDocument/2006/relationships/hyperlink" Target="https://www.isprambiente.gov.it/files/snpa/consiglio-federale/Delibera89cfcriterieindirizzicondivisiperilrecuperodirifiutiinertieallegati.pdf" TargetMode="External"/><Relationship Id="rId18" Type="http://schemas.openxmlformats.org/officeDocument/2006/relationships/hyperlink" Target="https://ec.europa.eu/docsroom/documents/31521/attachments/1/translations/it/renditions/nativ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itilliumWeb-regular.ttf"/><Relationship Id="rId2" Type="http://schemas.openxmlformats.org/officeDocument/2006/relationships/font" Target="fonts/TitilliumWeb-bold.ttf"/><Relationship Id="rId3" Type="http://schemas.openxmlformats.org/officeDocument/2006/relationships/font" Target="fonts/TitilliumWeb-italic.ttf"/><Relationship Id="rId4" Type="http://schemas.openxmlformats.org/officeDocument/2006/relationships/font" Target="fonts/TitilliumWeb-boldItalic.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3FD+WIDAmjvILwRIkoeYLiHLwzg==">AMUW2mUmUaVx0dYztqI/GrZGDk600P2/ed3UTdE/DNKFxsYV7RwURsFF6C4Hp4v1FGIKlt99JcJ9epIhERkIAl0ZG/XUwZSkAvaXqxDve5sewR9NneMRCF0=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2023-01-18T08:38:00Z</dcterms:created>
  <dc:creator>Giada Cianfarani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7a60d-5525-435b-8989-8eb48ac0c8cd_Enabled">
    <vt:lpwstr>true</vt:lpwstr>
  </property>
  <property fmtid="{D5CDD505-2E9C-101B-9397-08002B2CF9AE}" pid="3" name="MSIP_Label_5097a60d-5525-435b-8989-8eb48ac0c8cd_SetDate">
    <vt:lpwstr>2023-01-18T08:38:58Z</vt:lpwstr>
  </property>
  <property fmtid="{D5CDD505-2E9C-101B-9397-08002B2CF9AE}" pid="4" name="MSIP_Label_5097a60d-5525-435b-8989-8eb48ac0c8cd_Method">
    <vt:lpwstr>Standard</vt:lpwstr>
  </property>
  <property fmtid="{D5CDD505-2E9C-101B-9397-08002B2CF9AE}" pid="5" name="MSIP_Label_5097a60d-5525-435b-8989-8eb48ac0c8cd_Name">
    <vt:lpwstr>defa4170-0d19-0005-0004-bc88714345d2</vt:lpwstr>
  </property>
  <property fmtid="{D5CDD505-2E9C-101B-9397-08002B2CF9AE}" pid="6" name="MSIP_Label_5097a60d-5525-435b-8989-8eb48ac0c8cd_SiteId">
    <vt:lpwstr>3e90938b-8b27-4762-b4e8-006a8127a119</vt:lpwstr>
  </property>
  <property fmtid="{D5CDD505-2E9C-101B-9397-08002B2CF9AE}" pid="7" name="MSIP_Label_5097a60d-5525-435b-8989-8eb48ac0c8cd_ActionId">
    <vt:lpwstr>c1000d0a-9ba9-44f8-9cc0-0cc0b4560170</vt:lpwstr>
  </property>
  <property fmtid="{D5CDD505-2E9C-101B-9397-08002B2CF9AE}" pid="8" name="MSIP_Label_5097a60d-5525-435b-8989-8eb48ac0c8cd_ContentBits">
    <vt:lpwstr>0</vt:lpwstr>
  </property>
</Properties>
</file>