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line="240" w:lineRule="auto"/>
        <w:jc w:val="center"/>
        <w:rPr>
          <w:rFonts w:ascii="Titillium Web" w:cs="Titillium Web" w:eastAsia="Titillium Web" w:hAnsi="Titillium Web"/>
          <w:b w:val="1"/>
          <w:color w:val="0059c8"/>
          <w:sz w:val="30"/>
          <w:szCs w:val="30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color w:val="0059c8"/>
          <w:sz w:val="40"/>
          <w:szCs w:val="40"/>
          <w:rtl w:val="0"/>
        </w:rPr>
        <w:t xml:space="preserve">Check-list Scheda 8</w:t>
      </w:r>
      <w:r w:rsidDel="00000000" w:rsidR="00000000" w:rsidRPr="00000000">
        <w:rPr>
          <w:rFonts w:ascii="Titillium Web" w:cs="Titillium Web" w:eastAsia="Titillium Web" w:hAnsi="Titillium Web"/>
          <w:b w:val="1"/>
          <w:color w:val="0059c8"/>
          <w:sz w:val="30"/>
          <w:szCs w:val="30"/>
          <w:rtl w:val="0"/>
        </w:rPr>
        <w:t xml:space="preserve">: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jc w:val="center"/>
        <w:rPr>
          <w:rFonts w:ascii="Titillium Web" w:cs="Titillium Web" w:eastAsia="Titillium Web" w:hAnsi="Titillium Web"/>
          <w:b w:val="1"/>
          <w:color w:val="0563c1"/>
          <w:sz w:val="30"/>
          <w:szCs w:val="30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color w:val="0563c1"/>
          <w:sz w:val="30"/>
          <w:szCs w:val="30"/>
          <w:rtl w:val="0"/>
        </w:rPr>
        <w:t xml:space="preserve"> "</w:t>
      </w:r>
      <w:r w:rsidDel="00000000" w:rsidR="00000000" w:rsidRPr="00000000">
        <w:rPr>
          <w:rFonts w:ascii="Titillium Web" w:cs="Titillium Web" w:eastAsia="Titillium Web" w:hAnsi="Titillium Web"/>
          <w:b w:val="1"/>
          <w:color w:val="0563c1"/>
          <w:sz w:val="30"/>
          <w:szCs w:val="30"/>
          <w:u w:val="single"/>
          <w:rtl w:val="0"/>
        </w:rPr>
        <w:t xml:space="preserve">DATA CENTER</w:t>
      </w:r>
      <w:r w:rsidDel="00000000" w:rsidR="00000000" w:rsidRPr="00000000">
        <w:rPr>
          <w:rFonts w:ascii="Titillium Web" w:cs="Titillium Web" w:eastAsia="Titillium Web" w:hAnsi="Titillium Web"/>
          <w:b w:val="1"/>
          <w:color w:val="0563c1"/>
          <w:sz w:val="30"/>
          <w:szCs w:val="30"/>
          <w:rtl w:val="0"/>
        </w:rPr>
        <w:t xml:space="preserve">”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310.0" w:type="dxa"/>
        <w:jc w:val="left"/>
        <w:tblLayout w:type="fixed"/>
        <w:tblLook w:val="0600"/>
      </w:tblPr>
      <w:tblGrid>
        <w:gridCol w:w="1215"/>
        <w:gridCol w:w="1080"/>
        <w:gridCol w:w="105"/>
        <w:gridCol w:w="4350"/>
        <w:gridCol w:w="105"/>
        <w:gridCol w:w="1665"/>
        <w:gridCol w:w="1485"/>
        <w:gridCol w:w="1575"/>
        <w:gridCol w:w="2730"/>
        <w:tblGridChange w:id="0">
          <w:tblGrid>
            <w:gridCol w:w="1215"/>
            <w:gridCol w:w="1080"/>
            <w:gridCol w:w="105"/>
            <w:gridCol w:w="4350"/>
            <w:gridCol w:w="105"/>
            <w:gridCol w:w="1665"/>
            <w:gridCol w:w="1485"/>
            <w:gridCol w:w="1575"/>
            <w:gridCol w:w="2730"/>
          </w:tblGrid>
        </w:tblGridChange>
      </w:tblGrid>
      <w:tr>
        <w:trPr>
          <w:cantSplit w:val="0"/>
          <w:trHeight w:val="38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4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Svolgimento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delle verifiche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6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8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Elementi di Controllo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9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Normativa di riferimento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B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Certificazione richiesta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C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Esito (Sì/No/Non applicabile)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8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D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Commento (obbligatorio in caso di N/A)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Ex-ante</w:t>
            </w:r>
          </w:p>
        </w:tc>
        <w:tc>
          <w:tcPr>
            <w:gridSpan w:val="8"/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d9d9d9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Il requisito 0.1 verifica il rispetto del principio DNSH in maniera trasversale per tutti gli obiettivi ambientali rilevanti ed esonera dalla compilazione dei successivi punti.</w:t>
            </w:r>
          </w:p>
        </w:tc>
      </w:tr>
      <w:tr>
        <w:trPr>
          <w:cantSplit w:val="0"/>
          <w:trHeight w:val="703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0.1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È disponibile una Certificazione di sistema di gestione ambientale di tipo ISO 14001 o EMAS rilasciata sotto accreditamento?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--------------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ISO 14001 / Registrazione EMAS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d9d9d9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Nel caso in cui non fosse disponibile la certificazione del punto 0.1, proseguire con la compilazione della scheda.</w:t>
            </w:r>
          </w:p>
        </w:tc>
      </w:tr>
      <w:tr>
        <w:trPr>
          <w:cantSplit w:val="0"/>
          <w:trHeight w:val="1011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Le nuove apparecchiature IT acquistate per i data center che ospitano i servizi di hosting e cloud sono certificate secondo lo standard internazionale sull’efficienza energetica EneryStar, o equivalente?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EPA ENERGY STAR/ ISO/IEC 30134-4:2017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1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d8d8d8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I punti 2, 3 e 4 sono alternativi</w:t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Sono stati svolti degli studi di fattibilità per l’implementazione e il rispetto di tutte le “pratiche attese” incluse nella versione più recente del codice di condotta europeo sull’efficienza energetica dei centri dati e hanno attuato tutte le pratiche attese a cui è stato assegnato il valore massimo di 5?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Decisione (UE) 2021/2054 della Commissione del 08/11/2021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ISO 55000 / ISO 14040 / ISO 14044 / EN 15978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I data center aderiscono alle pratiche raccomandate contenute nel CEN-CENELEC documento CLC TR50600-99-1 "Data centre facilities and infrastructures- Part 99-1 : Recommended practices for energy management?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CLC TR50600-99-1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EN 50600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Sono rispettati tutti i Criteri dell'UE applicabili in materia di appalti pubblici verdi per i centri dati, le sale server e servizi cloud e fornite le relative prove di verifica?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51">
            <w:pPr>
              <w:rPr/>
            </w:pPr>
            <w:hyperlink r:id="rId7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Criteri UE in materia di appalti pubblici verdi per i centri dati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 data center che ospitano i servizi di hosting e cloud hanno un piano di gestione dei rifiuti?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Norme tecniche Life Cycle Assessment (LCA)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EN 50625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d8d8d8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Nel caso in cui fosse verificato il punto 4, si considerano verificato anche i punti 6, 7 e 8.</w:t>
            </w:r>
          </w:p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Nel caso in cui non fosse verificato il punto 4, rispondere ai punti  punti 6, 7 e 8..</w:t>
            </w:r>
          </w:p>
        </w:tc>
      </w:tr>
      <w:tr>
        <w:trPr>
          <w:cantSplit w:val="0"/>
          <w:trHeight w:val="1099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È disponibile una dichiarazione dei produttori/fornitori di conformità alla seguente normativa: ecodesign (Regolamento (EU) 2019/424) considerato che la conformità alle normative può essere dimostrata anche tramite il sistema di gestione ISO 30134:2016 certificato da organismi di certificazione accreditati?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  <w:t xml:space="preserve">Regolamento (UE) 2019/424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  <w:t xml:space="preserve">ISO 30134:2016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È disponibile la comunicazione del calcolo della media ponderata del potenziale di riscaldamento globale, anche per l'inventario dei refrigeranti utilizzati nei siti o per fornire il servizio, e dimostrazione dell’aderenza al metodo descritto nell'allegato IV del regolamento (UE) n. 517/2014? In laternativa, è presente sistema di gestione dell'energia (norma ISO 50001), che sia certificato da organismi di certificazione della conformità e riporti l'uso di refrigeranti?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Regolamento (UE) 517/2014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  <w:t xml:space="preserve">ISO 50001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La conformità delle apparecchiature dei data center è autocertificata dal produttore/fornitore tramite una dichiarazione resa ai sensi del D.P.R. n. 445/2000, adeguandosi alla seguente normativa: REACH (Regolamento (CE) n.1907/2006); RoHS (Direttiva 2011/65/EU e ss.m.i.); compatibilità elettromagnetica (Direttiva 2014/30/UE) (la conformità alla norma RoHS può essere dimostrata applicando la norma EN IEC 63000:2018)?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  <w:t xml:space="preserve">Direttiva (UE) 65/2011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  <w:t xml:space="preserve">EN IEC 63000:2018 / ISO 16890-1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8" w:val="single"/>
            </w:tcBorders>
            <w:shd w:fill="auto" w:val="clear"/>
            <w:tcMar>
              <w:top w:w="13.0" w:type="dxa"/>
              <w:left w:w="19.0" w:type="dxa"/>
              <w:bottom w:w="13.0" w:type="dxa"/>
              <w:right w:w="19.0" w:type="dxa"/>
            </w:tcMar>
          </w:tcPr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tillium Web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ollegamentoipertestuale">
    <w:name w:val="Hyperlink"/>
    <w:basedOn w:val="Carpredefinitoparagrafo"/>
    <w:uiPriority w:val="99"/>
    <w:unhideWhenUsed w:val="1"/>
    <w:rsid w:val="00F919B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F919B6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ec.europa.eu/environment/gpp/pdf/20032020_EU_GPP_criteria_for_data_centres_server_rooms_and%20cloud_services_SWD_(2020)_55_final_it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itilliumWeb-regular.ttf"/><Relationship Id="rId2" Type="http://schemas.openxmlformats.org/officeDocument/2006/relationships/font" Target="fonts/TitilliumWeb-bold.ttf"/><Relationship Id="rId3" Type="http://schemas.openxmlformats.org/officeDocument/2006/relationships/font" Target="fonts/TitilliumWeb-italic.ttf"/><Relationship Id="rId4" Type="http://schemas.openxmlformats.org/officeDocument/2006/relationships/font" Target="fonts/TitilliumWeb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k7MNHrRfc6J9AtAKAaCr5a0ywKQ==">AMUW2mWwlfLD5cqzf3W/1yZq47JLHXDmtN6NddoZTVgwphHnHwLIaFDU2Ywwu3oPQNcC4ZpdOxUAOEFxK+gnH3YpZ4eOpbQ/CiQZ8T4itkt/Hbf7AHGGnZE=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2023-01-18T08:52:00Z</dcterms:created>
  <dc:creator>Giada Cianfarani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2023-01-18T08:52:31Z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8717d2ab-6bff-47d6-915e-f8aa74a0a768</vt:lpwstr>
  </property>
  <property fmtid="{D5CDD505-2E9C-101B-9397-08002B2CF9AE}" pid="8" name="MSIP_Label_5097a60d-5525-435b-8989-8eb48ac0c8cd_ContentBits">
    <vt:lpwstr>0</vt:lpwstr>
  </property>
</Properties>
</file>