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tf" ContentType="application/x-font-ttf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1.xml" ContentType="application/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ind w:left="851" w:hanging="851"/>
        <w:jc w:val="center"/>
        <w:rPr>
          <w:rFonts w:ascii="Times New Roman" w:cs="Times New Roman" w:eastAsia="Times New Roman" w:hAnsi="Times New Roman"/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ind w:left="851" w:hanging="851"/>
        <w:jc w:val="right"/>
        <w:rPr>
          <w:rFonts w:ascii="Titillium Web" w:cs="Titillium Web" w:eastAsia="Titillium Web" w:hAnsi="Titillium Web"/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ind w:left="851" w:hanging="851"/>
        <w:jc w:val="center"/>
        <w:rPr>
          <w:rFonts w:ascii="Titillium Web" w:cs="Titillium Web" w:eastAsia="Titillium Web" w:hAnsi="Titillium Web"/>
          <w:b w:val="1"/>
          <w:u w:val="single"/>
        </w:rPr>
      </w:pPr>
      <w:r w:rsidDel="00000000" w:rsidR="00000000" w:rsidRPr="00000000">
        <w:rPr>
          <w:rFonts w:ascii="Titillium Web" w:cs="Titillium Web" w:eastAsia="Titillium Web" w:hAnsi="Titillium Web"/>
          <w:b w:val="1"/>
          <w:u w:val="single"/>
          <w:rtl w:val="0"/>
        </w:rPr>
        <w:t xml:space="preserve">Indicazioni per la corretta fatturazione dei servizi a valere su </w:t>
      </w:r>
    </w:p>
    <w:p w:rsidR="00000000" w:rsidDel="00000000" w:rsidP="00000000" w:rsidRDefault="00000000" w:rsidRPr="00000000" w14:paraId="00000004">
      <w:pPr>
        <w:spacing w:after="0" w:line="240" w:lineRule="auto"/>
        <w:ind w:left="851" w:hanging="851"/>
        <w:jc w:val="center"/>
        <w:rPr>
          <w:rFonts w:ascii="Titillium Web" w:cs="Titillium Web" w:eastAsia="Titillium Web" w:hAnsi="Titillium Web"/>
          <w:b w:val="1"/>
          <w:i w:val="1"/>
        </w:rPr>
      </w:pPr>
      <w:r w:rsidDel="00000000" w:rsidR="00000000" w:rsidRPr="00000000">
        <w:rPr>
          <w:rFonts w:ascii="Titillium Web" w:cs="Titillium Web" w:eastAsia="Titillium Web" w:hAnsi="Titillium Web"/>
          <w:b w:val="1"/>
          <w:i w:val="1"/>
          <w:rtl w:val="0"/>
        </w:rPr>
        <w:t xml:space="preserve">Piano Nazionale di Ripresa e Resilienza – Next Generation EU (DL 77/2021)</w:t>
      </w:r>
    </w:p>
    <w:p w:rsidR="00000000" w:rsidDel="00000000" w:rsidP="00000000" w:rsidRDefault="00000000" w:rsidRPr="00000000" w14:paraId="00000005">
      <w:pPr>
        <w:spacing w:after="0" w:line="24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Titillium Web" w:cs="Titillium Web" w:eastAsia="Titillium Web" w:hAnsi="Titillium Web"/>
          <w:rtl w:val="0"/>
        </w:rPr>
        <w:t xml:space="preserve">Si riportano nel seguito le indicazioni operative per la corretta emissione delle fatture elettroniche per la liquidazione delle spese riconosciute ammissibili ad esito dei controlli e autorizzate dal Dipartimento per la trasformazione digitale – Unità di Missione PNRR.</w:t>
      </w:r>
    </w:p>
    <w:p w:rsidR="00000000" w:rsidDel="00000000" w:rsidP="00000000" w:rsidRDefault="00000000" w:rsidRPr="00000000" w14:paraId="00000008">
      <w:pPr>
        <w:spacing w:after="0" w:line="240" w:lineRule="auto"/>
        <w:jc w:val="both"/>
        <w:rPr>
          <w:rFonts w:ascii="Titillium Web" w:cs="Titillium Web" w:eastAsia="Titillium Web" w:hAnsi="Titillium Web"/>
          <w:b w:val="1"/>
        </w:rPr>
      </w:pPr>
      <w:r w:rsidDel="00000000" w:rsidR="00000000" w:rsidRPr="00000000">
        <w:rPr>
          <w:rFonts w:ascii="Titillium Web" w:cs="Titillium Web" w:eastAsia="Titillium Web" w:hAnsi="Titillium Web"/>
          <w:b w:val="1"/>
          <w:rtl w:val="0"/>
        </w:rPr>
        <w:t xml:space="preserve">A. Indicazioni per l’emissione della fattura elettronica</w:t>
      </w:r>
    </w:p>
    <w:p w:rsidR="00000000" w:rsidDel="00000000" w:rsidP="00000000" w:rsidRDefault="00000000" w:rsidRPr="00000000" w14:paraId="00000009">
      <w:pPr>
        <w:spacing w:after="0" w:line="24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Titillium Web" w:cs="Titillium Web" w:eastAsia="Titillium Web" w:hAnsi="Titillium Web"/>
          <w:rtl w:val="0"/>
        </w:rPr>
        <w:t xml:space="preserve">La documentazione contabile dovrà recare obbligatoriamente le seguenti informazioni per ognuno dei campi richiamati in tabella.</w:t>
      </w:r>
    </w:p>
    <w:p w:rsidR="00000000" w:rsidDel="00000000" w:rsidP="00000000" w:rsidRDefault="00000000" w:rsidRPr="00000000" w14:paraId="0000000A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1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2"/>
        <w:gridCol w:w="6044"/>
        <w:tblGridChange w:id="0">
          <w:tblGrid>
            <w:gridCol w:w="2972"/>
            <w:gridCol w:w="6044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shd w:fill="002060" w:val="clear"/>
          </w:tcPr>
          <w:p w:rsidR="00000000" w:rsidDel="00000000" w:rsidP="00000000" w:rsidRDefault="00000000" w:rsidRPr="00000000" w14:paraId="0000000B">
            <w:pPr>
              <w:rPr>
                <w:rFonts w:ascii="Titillium Web" w:cs="Titillium Web" w:eastAsia="Titillium Web" w:hAnsi="Titillium Web"/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b w:val="1"/>
                <w:color w:val="ffffff"/>
                <w:sz w:val="18"/>
                <w:szCs w:val="18"/>
                <w:rtl w:val="0"/>
              </w:rPr>
              <w:t xml:space="preserve">Campi </w:t>
            </w:r>
          </w:p>
        </w:tc>
        <w:tc>
          <w:tcPr>
            <w:shd w:fill="002060" w:val="clear"/>
          </w:tcPr>
          <w:p w:rsidR="00000000" w:rsidDel="00000000" w:rsidP="00000000" w:rsidRDefault="00000000" w:rsidRPr="00000000" w14:paraId="0000000C">
            <w:pPr>
              <w:jc w:val="center"/>
              <w:rPr>
                <w:rFonts w:ascii="Titillium Web" w:cs="Titillium Web" w:eastAsia="Titillium Web" w:hAnsi="Titillium Web"/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b w:val="1"/>
                <w:color w:val="ffffff"/>
                <w:sz w:val="18"/>
                <w:szCs w:val="18"/>
                <w:rtl w:val="0"/>
              </w:rPr>
              <w:t xml:space="preserve">Informazioni da riportare</w:t>
            </w:r>
          </w:p>
        </w:tc>
      </w:tr>
      <w:tr>
        <w:trPr>
          <w:cantSplit w:val="0"/>
          <w:trHeight w:val="20" w:hRule="atLeast"/>
          <w:tblHeader w:val="0"/>
        </w:trPr>
        <w:tc>
          <w:tcPr/>
          <w:p w:rsidR="00000000" w:rsidDel="00000000" w:rsidP="00000000" w:rsidRDefault="00000000" w:rsidRPr="00000000" w14:paraId="0000000D">
            <w:pPr>
              <w:rPr>
                <w:rFonts w:ascii="Titillium Web" w:cs="Titillium Web" w:eastAsia="Titillium Web" w:hAnsi="Titillium Web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b w:val="1"/>
                <w:color w:val="000000"/>
                <w:sz w:val="18"/>
                <w:szCs w:val="18"/>
                <w:rtl w:val="0"/>
              </w:rPr>
              <w:t xml:space="preserve">Dati relativi alla trasmissione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E">
            <w:pPr>
              <w:spacing w:after="0" w:line="240" w:lineRule="auto"/>
              <w:jc w:val="both"/>
              <w:rPr>
                <w:rFonts w:ascii="Titillium Web" w:cs="Titillium Web" w:eastAsia="Titillium Web" w:hAnsi="Titillium Web"/>
                <w:i w:val="1"/>
                <w:sz w:val="18"/>
                <w:szCs w:val="18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color w:val="000000"/>
                <w:sz w:val="18"/>
                <w:szCs w:val="18"/>
                <w:rtl w:val="0"/>
              </w:rPr>
              <w:t xml:space="preserve">codice IPA dell’Amministrazione destinataria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/>
          <w:p w:rsidR="00000000" w:rsidDel="00000000" w:rsidP="00000000" w:rsidRDefault="00000000" w:rsidRPr="00000000" w14:paraId="0000000F">
            <w:pPr>
              <w:rPr>
                <w:rFonts w:ascii="Titillium Web" w:cs="Titillium Web" w:eastAsia="Titillium Web" w:hAnsi="Titillium Web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b w:val="1"/>
                <w:sz w:val="18"/>
                <w:szCs w:val="18"/>
                <w:rtl w:val="0"/>
              </w:rPr>
              <w:t xml:space="preserve">Dati del Cedente</w:t>
            </w:r>
          </w:p>
        </w:tc>
        <w:tc>
          <w:tcPr/>
          <w:p w:rsidR="00000000" w:rsidDel="00000000" w:rsidP="00000000" w:rsidRDefault="00000000" w:rsidRPr="00000000" w14:paraId="00000010">
            <w:pPr>
              <w:rPr>
                <w:rFonts w:ascii="Titillium Web" w:cs="Titillium Web" w:eastAsia="Titillium Web" w:hAnsi="Titillium Web"/>
                <w:sz w:val="18"/>
                <w:szCs w:val="18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sz w:val="18"/>
                <w:szCs w:val="18"/>
                <w:rtl w:val="0"/>
              </w:rPr>
              <w:t xml:space="preserve">Dati anagrafici e quelli relativi alla sede dell’operatore economico, ragione sociale, CF / P.IVA dell’emittente fattura</w:t>
            </w:r>
          </w:p>
        </w:tc>
      </w:tr>
      <w:tr>
        <w:trPr>
          <w:cantSplit w:val="0"/>
          <w:trHeight w:val="20" w:hRule="atLeast"/>
          <w:tblHeader w:val="0"/>
        </w:trPr>
        <w:tc>
          <w:tcPr/>
          <w:p w:rsidR="00000000" w:rsidDel="00000000" w:rsidP="00000000" w:rsidRDefault="00000000" w:rsidRPr="00000000" w14:paraId="00000011">
            <w:pPr>
              <w:rPr>
                <w:rFonts w:ascii="Titillium Web" w:cs="Titillium Web" w:eastAsia="Titillium Web" w:hAnsi="Titillium Web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b w:val="1"/>
                <w:color w:val="000000"/>
                <w:sz w:val="18"/>
                <w:szCs w:val="18"/>
                <w:rtl w:val="0"/>
              </w:rPr>
              <w:t xml:space="preserve">Dati del cessionario/committente</w:t>
            </w:r>
          </w:p>
        </w:tc>
        <w:tc>
          <w:tcPr/>
          <w:p w:rsidR="00000000" w:rsidDel="00000000" w:rsidP="00000000" w:rsidRDefault="00000000" w:rsidRPr="00000000" w14:paraId="00000012">
            <w:pPr>
              <w:tabs>
                <w:tab w:val="left" w:pos="1946"/>
              </w:tabs>
              <w:rPr>
                <w:rFonts w:ascii="Titillium Web" w:cs="Titillium Web" w:eastAsia="Titillium Web" w:hAnsi="Titillium Web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/>
          <w:p w:rsidR="00000000" w:rsidDel="00000000" w:rsidP="00000000" w:rsidRDefault="00000000" w:rsidRPr="00000000" w14:paraId="00000013">
            <w:pPr>
              <w:rPr>
                <w:rFonts w:ascii="Titillium Web" w:cs="Titillium Web" w:eastAsia="Titillium Web" w:hAnsi="Titillium Web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b w:val="1"/>
                <w:color w:val="000000"/>
                <w:sz w:val="18"/>
                <w:szCs w:val="18"/>
                <w:rtl w:val="0"/>
              </w:rPr>
              <w:t xml:space="preserve">Dati generali del documento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4">
            <w:pPr>
              <w:tabs>
                <w:tab w:val="left" w:pos="1946"/>
              </w:tabs>
              <w:rPr>
                <w:rFonts w:ascii="Titillium Web" w:cs="Titillium Web" w:eastAsia="Titillium Web" w:hAnsi="Titillium Web"/>
                <w:sz w:val="18"/>
                <w:szCs w:val="18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color w:val="000000"/>
                <w:sz w:val="18"/>
                <w:szCs w:val="18"/>
                <w:rtl w:val="0"/>
              </w:rPr>
              <w:t xml:space="preserve">Data, il numero e l’importo totale del documento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/>
          <w:p w:rsidR="00000000" w:rsidDel="00000000" w:rsidP="00000000" w:rsidRDefault="00000000" w:rsidRPr="00000000" w14:paraId="00000015">
            <w:pPr>
              <w:rPr>
                <w:rFonts w:ascii="Titillium Web" w:cs="Titillium Web" w:eastAsia="Titillium Web" w:hAnsi="Titillium Web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b w:val="1"/>
                <w:color w:val="000000"/>
                <w:sz w:val="18"/>
                <w:szCs w:val="18"/>
                <w:rtl w:val="0"/>
              </w:rPr>
              <w:t xml:space="preserve">Dati del contratto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6">
            <w:pPr>
              <w:tabs>
                <w:tab w:val="left" w:pos="1946"/>
              </w:tabs>
              <w:jc w:val="both"/>
              <w:rPr>
                <w:rFonts w:ascii="Titillium Web" w:cs="Titillium Web" w:eastAsia="Titillium Web" w:hAnsi="Titillium Web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sz w:val="18"/>
                <w:szCs w:val="18"/>
                <w:rtl w:val="0"/>
              </w:rPr>
              <w:t xml:space="preserve">I</w:t>
            </w:r>
            <w:r w:rsidDel="00000000" w:rsidR="00000000" w:rsidRPr="00000000">
              <w:rPr>
                <w:rFonts w:ascii="Titillium Web" w:cs="Titillium Web" w:eastAsia="Titillium Web" w:hAnsi="Titillium Web"/>
                <w:color w:val="000000"/>
                <w:sz w:val="18"/>
                <w:szCs w:val="18"/>
                <w:rtl w:val="0"/>
              </w:rPr>
              <w:t xml:space="preserve">dentificativo del contratto: ___________</w:t>
            </w:r>
          </w:p>
          <w:p w:rsidR="00000000" w:rsidDel="00000000" w:rsidP="00000000" w:rsidRDefault="00000000" w:rsidRPr="00000000" w14:paraId="00000017">
            <w:pPr>
              <w:tabs>
                <w:tab w:val="left" w:pos="1946"/>
              </w:tabs>
              <w:jc w:val="both"/>
              <w:rPr>
                <w:rFonts w:ascii="Titillium Web" w:cs="Titillium Web" w:eastAsia="Titillium Web" w:hAnsi="Titillium Web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sz w:val="18"/>
                <w:szCs w:val="18"/>
                <w:rtl w:val="0"/>
              </w:rPr>
              <w:t xml:space="preserve">d</w:t>
            </w:r>
            <w:r w:rsidDel="00000000" w:rsidR="00000000" w:rsidRPr="00000000">
              <w:rPr>
                <w:rFonts w:ascii="Titillium Web" w:cs="Titillium Web" w:eastAsia="Titillium Web" w:hAnsi="Titillium Web"/>
                <w:color w:val="000000"/>
                <w:sz w:val="18"/>
                <w:szCs w:val="18"/>
                <w:rtl w:val="0"/>
              </w:rPr>
              <w:t xml:space="preserve">ata di stipula del contratto __________</w:t>
            </w:r>
          </w:p>
          <w:p w:rsidR="00000000" w:rsidDel="00000000" w:rsidP="00000000" w:rsidRDefault="00000000" w:rsidRPr="00000000" w14:paraId="00000018">
            <w:pPr>
              <w:tabs>
                <w:tab w:val="left" w:pos="1946"/>
              </w:tabs>
              <w:jc w:val="both"/>
              <w:rPr>
                <w:rFonts w:ascii="Titillium Web" w:cs="Titillium Web" w:eastAsia="Titillium Web" w:hAnsi="Titillium Web"/>
                <w:sz w:val="18"/>
                <w:szCs w:val="18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color w:val="000000"/>
                <w:sz w:val="18"/>
                <w:szCs w:val="18"/>
                <w:rtl w:val="0"/>
              </w:rPr>
              <w:t xml:space="preserve">CIG ____________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/>
          <w:p w:rsidR="00000000" w:rsidDel="00000000" w:rsidP="00000000" w:rsidRDefault="00000000" w:rsidRPr="00000000" w14:paraId="00000019">
            <w:pPr>
              <w:rPr>
                <w:rFonts w:ascii="Titillium Web" w:cs="Titillium Web" w:eastAsia="Titillium Web" w:hAnsi="Titillium Web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b w:val="1"/>
                <w:sz w:val="18"/>
                <w:szCs w:val="18"/>
                <w:rtl w:val="0"/>
              </w:rPr>
              <w:t xml:space="preserve">OGGETTO da inserire nella sezione “Causale”</w:t>
            </w:r>
          </w:p>
        </w:tc>
        <w:tc>
          <w:tcPr/>
          <w:p w:rsidR="00000000" w:rsidDel="00000000" w:rsidP="00000000" w:rsidRDefault="00000000" w:rsidRPr="00000000" w14:paraId="0000001A">
            <w:pPr>
              <w:tabs>
                <w:tab w:val="left" w:pos="1946"/>
              </w:tabs>
              <w:rPr>
                <w:rFonts w:ascii="Titillium Web" w:cs="Titillium Web" w:eastAsia="Titillium Web" w:hAnsi="Titillium Web"/>
                <w:sz w:val="18"/>
                <w:szCs w:val="18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sz w:val="18"/>
                <w:szCs w:val="18"/>
                <w:rtl w:val="0"/>
              </w:rPr>
              <w:t xml:space="preserve">PNRR – Next Generation EU (DL 77/2021) – Contratto_____del _____, CIG _______- CUP ________</w:t>
            </w:r>
          </w:p>
        </w:tc>
      </w:tr>
      <w:tr>
        <w:trPr>
          <w:cantSplit w:val="0"/>
          <w:trHeight w:val="20" w:hRule="atLeast"/>
          <w:tblHeader w:val="0"/>
        </w:trPr>
        <w:tc>
          <w:tcPr/>
          <w:p w:rsidR="00000000" w:rsidDel="00000000" w:rsidP="00000000" w:rsidRDefault="00000000" w:rsidRPr="00000000" w14:paraId="0000001B">
            <w:pPr>
              <w:rPr>
                <w:rFonts w:ascii="Titillium Web" w:cs="Titillium Web" w:eastAsia="Titillium Web" w:hAnsi="Titillium Web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rPr>
                <w:rFonts w:ascii="Titillium Web" w:cs="Titillium Web" w:eastAsia="Titillium Web" w:hAnsi="Titillium Web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b w:val="1"/>
                <w:sz w:val="18"/>
                <w:szCs w:val="18"/>
                <w:rtl w:val="0"/>
              </w:rPr>
              <w:t xml:space="preserve">Dati relativi alle linee di dettaglio della fornitura</w:t>
            </w:r>
          </w:p>
        </w:tc>
        <w:tc>
          <w:tcPr/>
          <w:p w:rsidR="00000000" w:rsidDel="00000000" w:rsidP="00000000" w:rsidRDefault="00000000" w:rsidRPr="00000000" w14:paraId="0000001D">
            <w:pPr>
              <w:spacing w:after="0" w:lineRule="auto"/>
              <w:rPr>
                <w:rFonts w:ascii="Titillium Web" w:cs="Titillium Web" w:eastAsia="Titillium Web" w:hAnsi="Titillium Web"/>
                <w:sz w:val="18"/>
                <w:szCs w:val="18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sz w:val="18"/>
                <w:szCs w:val="18"/>
                <w:rtl w:val="0"/>
              </w:rPr>
              <w:t xml:space="preserve">Descrizione sintetica delle attività effettuate con indicazione del periodo di riferimento. La descrizione dovrà contenere tutti i seguenti riferimenti:</w:t>
            </w:r>
          </w:p>
          <w:p w:rsidR="00000000" w:rsidDel="00000000" w:rsidP="00000000" w:rsidRDefault="00000000" w:rsidRPr="00000000" w14:paraId="0000001E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360" w:hanging="360"/>
              <w:rPr>
                <w:rFonts w:ascii="Titillium Web" w:cs="Titillium Web" w:eastAsia="Titillium Web" w:hAnsi="Titillium Web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sz w:val="18"/>
                <w:szCs w:val="18"/>
                <w:rtl w:val="0"/>
              </w:rPr>
              <w:t xml:space="preserve">Missione - componente - m</w:t>
            </w:r>
            <w:r w:rsidDel="00000000" w:rsidR="00000000" w:rsidRPr="00000000">
              <w:rPr>
                <w:rFonts w:ascii="Titillium Web" w:cs="Titillium Web" w:eastAsia="Titillium Web" w:hAnsi="Titillium Web"/>
                <w:color w:val="000000"/>
                <w:sz w:val="18"/>
                <w:szCs w:val="18"/>
                <w:rtl w:val="0"/>
              </w:rPr>
              <w:t xml:space="preserve">isura: </w:t>
            </w:r>
          </w:p>
          <w:p w:rsidR="00000000" w:rsidDel="00000000" w:rsidP="00000000" w:rsidRDefault="00000000" w:rsidRPr="00000000" w14:paraId="0000001F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360" w:hanging="360"/>
              <w:rPr>
                <w:rFonts w:ascii="Titillium Web" w:cs="Titillium Web" w:eastAsia="Titillium Web" w:hAnsi="Titillium Web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color w:val="000000"/>
                <w:sz w:val="18"/>
                <w:szCs w:val="18"/>
                <w:rtl w:val="0"/>
              </w:rPr>
              <w:t xml:space="preserve">Eventuale fase del piano delle attività e relativo identificativo</w:t>
            </w:r>
            <w:r w:rsidDel="00000000" w:rsidR="00000000" w:rsidRPr="00000000">
              <w:rPr>
                <w:rFonts w:ascii="Titillium Web" w:cs="Titillium Web" w:eastAsia="Titillium Web" w:hAnsi="Titillium Web"/>
                <w:color w:val="ff0000"/>
                <w:sz w:val="18"/>
                <w:szCs w:val="1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360" w:hanging="360"/>
              <w:rPr>
                <w:rFonts w:ascii="Titillium Web" w:cs="Titillium Web" w:eastAsia="Titillium Web" w:hAnsi="Titillium Web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color w:val="000000"/>
                <w:sz w:val="18"/>
                <w:szCs w:val="18"/>
                <w:rtl w:val="0"/>
              </w:rPr>
              <w:t xml:space="preserve">Riferimento al N. SAL Contrattuale (es. SAL Mese Anno)</w:t>
            </w:r>
          </w:p>
          <w:p w:rsidR="00000000" w:rsidDel="00000000" w:rsidP="00000000" w:rsidRDefault="00000000" w:rsidRPr="00000000" w14:paraId="00000021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360" w:hanging="360"/>
              <w:rPr>
                <w:rFonts w:ascii="Titillium Web" w:cs="Titillium Web" w:eastAsia="Titillium Web" w:hAnsi="Titillium Web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color w:val="000000"/>
                <w:sz w:val="18"/>
                <w:szCs w:val="18"/>
                <w:rtl w:val="0"/>
              </w:rPr>
              <w:t xml:space="preserve">prot. e data del documento di autorizzazione alla fatturazione </w:t>
            </w:r>
          </w:p>
        </w:tc>
      </w:tr>
      <w:tr>
        <w:trPr>
          <w:cantSplit w:val="0"/>
          <w:trHeight w:val="20" w:hRule="atLeast"/>
          <w:tblHeader w:val="0"/>
        </w:trPr>
        <w:tc>
          <w:tcPr/>
          <w:p w:rsidR="00000000" w:rsidDel="00000000" w:rsidP="00000000" w:rsidRDefault="00000000" w:rsidRPr="00000000" w14:paraId="00000022">
            <w:pPr>
              <w:rPr>
                <w:rFonts w:ascii="Titillium Web" w:cs="Titillium Web" w:eastAsia="Titillium Web" w:hAnsi="Titillium Web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b w:val="1"/>
                <w:sz w:val="18"/>
                <w:szCs w:val="18"/>
                <w:rtl w:val="0"/>
              </w:rPr>
              <w:t xml:space="preserve">Dati di riepilogo per aliquota IVA e natura</w:t>
            </w:r>
          </w:p>
        </w:tc>
        <w:tc>
          <w:tcPr/>
          <w:p w:rsidR="00000000" w:rsidDel="00000000" w:rsidP="00000000" w:rsidRDefault="00000000" w:rsidRPr="00000000" w14:paraId="00000023">
            <w:pPr>
              <w:rPr>
                <w:rFonts w:ascii="Titillium Web" w:cs="Titillium Web" w:eastAsia="Titillium Web" w:hAnsi="Titillium Web"/>
                <w:sz w:val="18"/>
                <w:szCs w:val="18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sz w:val="18"/>
                <w:szCs w:val="18"/>
                <w:rtl w:val="0"/>
              </w:rPr>
              <w:t xml:space="preserve">Indicare aliquota IVA prevista e il regime fiscale applicato (riferimento normativo), indicando l’applicazione dello split payment (“S”) in caso di prestazioni soggette ad IVA</w:t>
            </w:r>
          </w:p>
        </w:tc>
      </w:tr>
      <w:tr>
        <w:trPr>
          <w:cantSplit w:val="0"/>
          <w:trHeight w:val="20" w:hRule="atLeast"/>
          <w:tblHeader w:val="0"/>
        </w:trPr>
        <w:tc>
          <w:tcPr/>
          <w:p w:rsidR="00000000" w:rsidDel="00000000" w:rsidP="00000000" w:rsidRDefault="00000000" w:rsidRPr="00000000" w14:paraId="00000024">
            <w:pPr>
              <w:rPr>
                <w:rFonts w:ascii="Titillium Web" w:cs="Titillium Web" w:eastAsia="Titillium Web" w:hAnsi="Titillium Web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b w:val="1"/>
                <w:sz w:val="18"/>
                <w:szCs w:val="18"/>
                <w:rtl w:val="0"/>
              </w:rPr>
              <w:t xml:space="preserve">Dati relativi al pagamento</w:t>
            </w:r>
          </w:p>
        </w:tc>
        <w:tc>
          <w:tcPr/>
          <w:p w:rsidR="00000000" w:rsidDel="00000000" w:rsidP="00000000" w:rsidRDefault="00000000" w:rsidRPr="00000000" w14:paraId="00000025">
            <w:pPr>
              <w:rPr>
                <w:rFonts w:ascii="Titillium Web" w:cs="Titillium Web" w:eastAsia="Titillium Web" w:hAnsi="Titillium Web"/>
                <w:sz w:val="18"/>
                <w:szCs w:val="18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sz w:val="18"/>
                <w:szCs w:val="18"/>
                <w:rtl w:val="0"/>
              </w:rPr>
              <w:t xml:space="preserve">Indicazione le modalità di pagamento, l’importo, l’istituto bancario, il codice IBAN (che deve coincidere con quello comunicato alla Stazione appaltante in sede di tracciabilità dei flussi finanziari</w:t>
            </w:r>
            <w:r w:rsidDel="00000000" w:rsidR="00000000" w:rsidRPr="00000000">
              <w:rPr>
                <w:rFonts w:ascii="Titillium Web" w:cs="Titillium Web" w:eastAsia="Titillium Web" w:hAnsi="Titillium Web"/>
                <w:color w:val="000000"/>
                <w:sz w:val="18"/>
                <w:szCs w:val="18"/>
                <w:rtl w:val="0"/>
              </w:rPr>
              <w:t xml:space="preserve">).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6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851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Times New Roman"/>
  <w:font w:name="Georgia"/>
  <w:font w:name="Courier New"/>
  <w:font w:name="Titillium Web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Corbel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Noto Sans Symbol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13"/>
        <w:tab w:val="right" w:pos="9026"/>
      </w:tabs>
      <w:spacing w:after="0" w:line="240" w:lineRule="auto"/>
      <w:jc w:val="center"/>
      <w:rPr>
        <w:rFonts w:ascii="Corbel" w:cs="Corbel" w:eastAsia="Corbel" w:hAnsi="Corbel"/>
        <w:color w:val="000000"/>
      </w:rPr>
    </w:pPr>
    <w:r w:rsidDel="00000000" w:rsidR="00000000" w:rsidRPr="00000000">
      <w:rPr>
        <w:color w:val="000000"/>
      </w:rPr>
      <w:drawing>
        <wp:inline distB="0" distT="0" distL="0" distR="0">
          <wp:extent cx="5731510" cy="476250"/>
          <wp:effectExtent b="0" l="0" r="0" t="0"/>
          <wp:docPr id="10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510" cy="47625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0"/>
      <w:numFmt w:val="bullet"/>
      <w:lvlText w:val="-"/>
      <w:lvlJc w:val="left"/>
      <w:pPr>
        <w:ind w:left="360" w:hanging="360"/>
      </w:pPr>
      <w:rPr>
        <w:rFonts w:ascii="Calibri" w:cs="Calibri" w:eastAsia="Calibri" w:hAnsi="Calibri"/>
      </w:rPr>
    </w:lvl>
    <w:lvl w:ilvl="1">
      <w:start w:val="0"/>
      <w:numFmt w:val="bullet"/>
      <w:lvlText w:val="-"/>
      <w:lvlJc w:val="left"/>
      <w:pPr>
        <w:ind w:left="1080" w:hanging="360"/>
      </w:pPr>
      <w:rPr>
        <w:rFonts w:ascii="Times New Roman" w:cs="Times New Roman" w:eastAsia="Times New Roman" w:hAnsi="Times New Roman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spacing w:line="240" w:lineRule="auto"/>
    </w:pPr>
    <w:rPr>
      <w:rFonts w:ascii="Times New Roman" w:cs="Times New Roman" w:eastAsia="Times New Roman" w:hAnsi="Times New Roman"/>
      <w:b w:val="1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  <w:rsid w:val="009C38EA"/>
    <w:rPr>
      <w:rFonts w:cs="Times New Roman"/>
    </w:rPr>
  </w:style>
  <w:style w:type="paragraph" w:styleId="Titolo1">
    <w:name w:val="heading 1"/>
    <w:basedOn w:val="Normale"/>
    <w:next w:val="Normale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itolo2">
    <w:name w:val="heading 2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itolo3">
    <w:name w:val="heading 3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itolo4">
    <w:name w:val="heading 4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itolo5">
    <w:name w:val="heading 5"/>
    <w:basedOn w:val="Normale"/>
    <w:link w:val="Titolo5Carattere"/>
    <w:uiPriority w:val="9"/>
    <w:semiHidden w:val="1"/>
    <w:unhideWhenUsed w:val="1"/>
    <w:qFormat w:val="1"/>
    <w:rsid w:val="00931FF3"/>
    <w:pPr>
      <w:spacing w:after="100" w:afterAutospacing="1" w:before="100" w:beforeAutospacing="1" w:line="240" w:lineRule="auto"/>
      <w:outlineLvl w:val="4"/>
    </w:pPr>
    <w:rPr>
      <w:rFonts w:ascii="Times New Roman" w:eastAsia="Times New Roman" w:hAnsi="Times New Roman"/>
      <w:b w:val="1"/>
      <w:bCs w:val="1"/>
      <w:sz w:val="20"/>
      <w:szCs w:val="20"/>
    </w:rPr>
  </w:style>
  <w:style w:type="paragraph" w:styleId="Titolo6">
    <w:name w:val="heading 6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olo">
    <w:name w:val="Title"/>
    <w:basedOn w:val="Normale"/>
    <w:next w:val="Normale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character" w:styleId="Enfasigrassetto">
    <w:name w:val="Strong"/>
    <w:uiPriority w:val="22"/>
    <w:qFormat w:val="1"/>
    <w:rsid w:val="00646204"/>
    <w:rPr>
      <w:b w:val="1"/>
      <w:bCs w:val="1"/>
    </w:rPr>
  </w:style>
  <w:style w:type="table" w:styleId="Grigliatabella">
    <w:name w:val="Table Grid"/>
    <w:basedOn w:val="Tabellanormale"/>
    <w:uiPriority w:val="39"/>
    <w:rsid w:val="00646204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Collegamentoipertestuale">
    <w:name w:val="Hyperlink"/>
    <w:uiPriority w:val="99"/>
    <w:unhideWhenUsed w:val="1"/>
    <w:rsid w:val="00E74E30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 w:val="1"/>
    <w:rsid w:val="00E21E84"/>
    <w:pPr>
      <w:tabs>
        <w:tab w:val="center" w:pos="4513"/>
        <w:tab w:val="right" w:pos="9026"/>
      </w:tabs>
      <w:spacing w:after="0" w:line="240" w:lineRule="auto"/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E21E84"/>
    <w:rPr>
      <w:rFonts w:ascii="Calibri" w:cs="Times New Roman" w:eastAsia="Calibri" w:hAnsi="Calibri"/>
    </w:rPr>
  </w:style>
  <w:style w:type="paragraph" w:styleId="Pidipagina">
    <w:name w:val="footer"/>
    <w:basedOn w:val="Normale"/>
    <w:link w:val="PidipaginaCarattere"/>
    <w:uiPriority w:val="99"/>
    <w:unhideWhenUsed w:val="1"/>
    <w:rsid w:val="00E21E84"/>
    <w:pPr>
      <w:tabs>
        <w:tab w:val="center" w:pos="4513"/>
        <w:tab w:val="right" w:pos="9026"/>
      </w:tabs>
      <w:spacing w:after="0" w:line="240" w:lineRule="auto"/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E21E84"/>
    <w:rPr>
      <w:rFonts w:ascii="Calibri" w:cs="Times New Roman" w:eastAsia="Calibri" w:hAnsi="Calibri"/>
    </w:rPr>
  </w:style>
  <w:style w:type="character" w:styleId="Rimandocommento">
    <w:name w:val="annotation reference"/>
    <w:basedOn w:val="Carpredefinitoparagrafo"/>
    <w:uiPriority w:val="99"/>
    <w:semiHidden w:val="1"/>
    <w:unhideWhenUsed w:val="1"/>
    <w:rsid w:val="00B23C2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 w:val="1"/>
    <w:unhideWhenUsed w:val="1"/>
    <w:rsid w:val="00B23C29"/>
    <w:pPr>
      <w:spacing w:line="240" w:lineRule="auto"/>
    </w:pPr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semiHidden w:val="1"/>
    <w:rsid w:val="00B23C29"/>
    <w:rPr>
      <w:rFonts w:ascii="Calibri" w:cs="Times New Roman" w:eastAsia="Calibri" w:hAnsi="Calibri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 w:val="1"/>
    <w:unhideWhenUsed w:val="1"/>
    <w:rsid w:val="00B23C29"/>
    <w:rPr>
      <w:b w:val="1"/>
      <w:bCs w:val="1"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 w:val="1"/>
    <w:rsid w:val="00B23C29"/>
    <w:rPr>
      <w:rFonts w:ascii="Calibri" w:cs="Times New Roman" w:eastAsia="Calibri" w:hAnsi="Calibri"/>
      <w:b w:val="1"/>
      <w:bCs w:val="1"/>
      <w:sz w:val="20"/>
      <w:szCs w:val="20"/>
    </w:rPr>
  </w:style>
  <w:style w:type="paragraph" w:styleId="Revisione">
    <w:name w:val="Revision"/>
    <w:hidden w:val="1"/>
    <w:uiPriority w:val="99"/>
    <w:semiHidden w:val="1"/>
    <w:rsid w:val="00467118"/>
    <w:pPr>
      <w:spacing w:after="0" w:line="240" w:lineRule="auto"/>
    </w:pPr>
    <w:rPr>
      <w:rFonts w:cs="Times New Roman"/>
    </w:rPr>
  </w:style>
  <w:style w:type="character" w:styleId="Titolo5Carattere" w:customStyle="1">
    <w:name w:val="Titolo 5 Carattere"/>
    <w:basedOn w:val="Carpredefinitoparagrafo"/>
    <w:link w:val="Titolo5"/>
    <w:uiPriority w:val="9"/>
    <w:rsid w:val="00931FF3"/>
    <w:rPr>
      <w:rFonts w:ascii="Times New Roman" w:cs="Times New Roman" w:eastAsia="Times New Roman" w:hAnsi="Times New Roman"/>
      <w:b w:val="1"/>
      <w:bCs w:val="1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 w:val="1"/>
    <w:rsid w:val="00AD29F4"/>
    <w:pPr>
      <w:ind w:left="720"/>
      <w:contextualSpacing w:val="1"/>
    </w:pPr>
  </w:style>
  <w:style w:type="paragraph" w:styleId="NormaleWeb">
    <w:name w:val="Normal (Web)"/>
    <w:basedOn w:val="Normale"/>
    <w:uiPriority w:val="99"/>
    <w:semiHidden w:val="1"/>
    <w:unhideWhenUsed w:val="1"/>
    <w:rsid w:val="00E60277"/>
    <w:pP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Sottotitolo">
    <w:name w:val="Subtitle"/>
    <w:basedOn w:val="Normale"/>
    <w:next w:val="Normale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fontTable" Target="fontTable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theme" Target="theme/theme1.xml"/><Relationship Id="rId6" Type="http://schemas.openxmlformats.org/officeDocument/2006/relationships/customXml" Target="../customXML/item1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customXml" Target="../customXML/item3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itilliumWeb-regular.ttf"/><Relationship Id="rId2" Type="http://schemas.openxmlformats.org/officeDocument/2006/relationships/font" Target="fonts/TitilliumWeb-bold.ttf"/><Relationship Id="rId3" Type="http://schemas.openxmlformats.org/officeDocument/2006/relationships/font" Target="fonts/TitilliumWeb-italic.ttf"/><Relationship Id="rId4" Type="http://schemas.openxmlformats.org/officeDocument/2006/relationships/font" Target="fonts/TitilliumWeb-boldItalic.ttf"/><Relationship Id="rId5" Type="http://schemas.openxmlformats.org/officeDocument/2006/relationships/font" Target="fonts/Corbel-regular.ttf"/><Relationship Id="rId6" Type="http://schemas.openxmlformats.org/officeDocument/2006/relationships/font" Target="fonts/Corbel-bold.ttf"/><Relationship Id="rId7" Type="http://schemas.openxmlformats.org/officeDocument/2006/relationships/font" Target="fonts/Corbel-italic.ttf"/><Relationship Id="rId8" Type="http://schemas.openxmlformats.org/officeDocument/2006/relationships/font" Target="fonts/Corbel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HerO5e86tiWfC5WGNDZZcq/ISdw==">AMUW2mWZJAnMw8iidrU7LKmFbbDrXYIKmATEr1vk/xQH0JouNFwxiPaNVH++VJeY4I/Qq3bOaFQmxsThRpxsFtRRj6okCPOE8MVwXTINZ0500/n0JGYsHHM=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D1F7056F561324EACCE5026B4481BCB" ma:contentTypeVersion="11" ma:contentTypeDescription="Creare un nuovo documento." ma:contentTypeScope="" ma:versionID="a2c0521ab7f3d288e4abb0059509fe4a">
  <xsd:schema xmlns:xsd="http://www.w3.org/2001/XMLSchema" xmlns:xs="http://www.w3.org/2001/XMLSchema" xmlns:p="http://schemas.microsoft.com/office/2006/metadata/properties" xmlns:ns2="d5d494d5-bbd0-498c-9517-5d69ecfb84a6" xmlns:ns3="07babe4d-e1d0-4e49-9e07-fed8da7d5da8" targetNamespace="http://schemas.microsoft.com/office/2006/metadata/properties" ma:root="true" ma:fieldsID="e9ecbe78d3c766beb3342946b82450e3" ns2:_="" ns3:_="">
    <xsd:import namespace="d5d494d5-bbd0-498c-9517-5d69ecfb84a6"/>
    <xsd:import namespace="07babe4d-e1d0-4e49-9e07-fed8da7d5da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d494d5-bbd0-498c-9517-5d69ecfb84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Tag immagine" ma:readOnly="false" ma:fieldId="{5cf76f15-5ced-4ddc-b409-7134ff3c332f}" ma:taxonomyMulti="true" ma:sspId="71bb2967-c362-44f9-8b79-c0367f23253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babe4d-e1d0-4e49-9e07-fed8da7d5da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640cd9e-bd8f-4c68-b65d-0c0206057630}" ma:internalName="TaxCatchAll" ma:showField="CatchAllData" ma:web="07babe4d-e1d0-4e49-9e07-fed8da7d5d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233F2C47-ED48-4583-BC4A-891C73F4EDA0}"/>
</file>

<file path=customXML/itemProps3.xml><?xml version="1.0" encoding="utf-8"?>
<ds:datastoreItem xmlns:ds="http://schemas.openxmlformats.org/officeDocument/2006/customXml" ds:itemID="{E411FEA4-6CCE-47D2-83C3-B77311C44F06}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2022-07-06T16:32:00Z</dcterms:created>
  <dc:creator>Federica Catarinozzi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0x01010096A12968CEAC4049A3AFB19BF62B6B21</vt:lpwstr>
  </property>
</Properties>
</file>